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12A347" w14:textId="5752157E" w:rsidR="00202B48" w:rsidRPr="00120FCD" w:rsidRDefault="00511BB6" w:rsidP="00BD3A51">
      <w:pPr>
        <w:spacing w:line="276" w:lineRule="auto"/>
        <w:jc w:val="center"/>
        <w:rPr>
          <w:rFonts w:eastAsia="標楷體"/>
          <w:b/>
          <w:sz w:val="36"/>
          <w:szCs w:val="28"/>
        </w:rPr>
      </w:pPr>
      <w:r>
        <w:rPr>
          <w:rFonts w:eastAsia="標楷體" w:hint="eastAsia"/>
          <w:b/>
          <w:sz w:val="36"/>
          <w:szCs w:val="28"/>
        </w:rPr>
        <w:tab/>
      </w:r>
    </w:p>
    <w:p w14:paraId="590E9550" w14:textId="77777777" w:rsidR="00202B48" w:rsidRDefault="00202B48" w:rsidP="00BD3A51">
      <w:pPr>
        <w:spacing w:line="276" w:lineRule="auto"/>
        <w:jc w:val="center"/>
        <w:rPr>
          <w:rFonts w:eastAsia="標楷體"/>
          <w:b/>
          <w:sz w:val="36"/>
          <w:szCs w:val="28"/>
        </w:rPr>
      </w:pPr>
    </w:p>
    <w:p w14:paraId="1F82F295" w14:textId="77777777" w:rsidR="00202B48" w:rsidRDefault="00202B48" w:rsidP="00BD3A51">
      <w:pPr>
        <w:spacing w:line="276" w:lineRule="auto"/>
        <w:jc w:val="center"/>
        <w:rPr>
          <w:rFonts w:eastAsia="標楷體"/>
          <w:b/>
          <w:sz w:val="36"/>
          <w:szCs w:val="28"/>
        </w:rPr>
      </w:pPr>
    </w:p>
    <w:p w14:paraId="7DA113C5" w14:textId="77777777" w:rsidR="00202B48" w:rsidRPr="00120FCD" w:rsidRDefault="00202B48" w:rsidP="00BD3A51">
      <w:pPr>
        <w:spacing w:line="276" w:lineRule="auto"/>
        <w:jc w:val="center"/>
        <w:rPr>
          <w:rFonts w:eastAsia="標楷體"/>
          <w:b/>
          <w:sz w:val="36"/>
          <w:szCs w:val="28"/>
        </w:rPr>
      </w:pPr>
    </w:p>
    <w:p w14:paraId="27805E02" w14:textId="77777777" w:rsidR="00202B48" w:rsidRPr="00120FCD" w:rsidRDefault="00202B48" w:rsidP="00BD3A51">
      <w:pPr>
        <w:spacing w:line="276" w:lineRule="auto"/>
        <w:jc w:val="center"/>
        <w:rPr>
          <w:rFonts w:eastAsia="標楷體"/>
          <w:b/>
          <w:sz w:val="36"/>
          <w:szCs w:val="28"/>
        </w:rPr>
      </w:pPr>
    </w:p>
    <w:p w14:paraId="02A34CB8" w14:textId="77777777" w:rsidR="00202B48" w:rsidRPr="00120FCD" w:rsidRDefault="00202B48" w:rsidP="00BD3A51">
      <w:pPr>
        <w:spacing w:line="276" w:lineRule="auto"/>
        <w:jc w:val="center"/>
        <w:rPr>
          <w:rFonts w:eastAsia="標楷體"/>
          <w:b/>
          <w:sz w:val="36"/>
          <w:szCs w:val="28"/>
        </w:rPr>
      </w:pPr>
    </w:p>
    <w:p w14:paraId="4DC2E817" w14:textId="77777777" w:rsidR="00202B48" w:rsidRPr="00120FCD" w:rsidRDefault="00202B48" w:rsidP="00BD3A51">
      <w:pPr>
        <w:spacing w:line="276" w:lineRule="auto"/>
        <w:jc w:val="center"/>
        <w:rPr>
          <w:rFonts w:eastAsia="標楷體"/>
          <w:b/>
          <w:sz w:val="36"/>
          <w:szCs w:val="28"/>
        </w:rPr>
      </w:pPr>
    </w:p>
    <w:p w14:paraId="494E8B81" w14:textId="77777777" w:rsidR="00202B48" w:rsidRPr="00120FCD" w:rsidRDefault="00202B48" w:rsidP="00BD3A51">
      <w:pPr>
        <w:spacing w:line="276" w:lineRule="auto"/>
        <w:jc w:val="center"/>
        <w:rPr>
          <w:rFonts w:eastAsia="標楷體"/>
          <w:b/>
          <w:sz w:val="56"/>
          <w:szCs w:val="28"/>
        </w:rPr>
      </w:pPr>
      <w:r>
        <w:rPr>
          <w:rFonts w:eastAsia="標楷體"/>
          <w:b/>
          <w:sz w:val="56"/>
          <w:szCs w:val="28"/>
        </w:rPr>
        <w:t>中華民國憲法與政府</w:t>
      </w:r>
    </w:p>
    <w:p w14:paraId="5D3F9759" w14:textId="77777777" w:rsidR="00601FA2" w:rsidRDefault="00601FA2" w:rsidP="00BD3A51">
      <w:pPr>
        <w:spacing w:line="276" w:lineRule="auto"/>
        <w:jc w:val="center"/>
        <w:rPr>
          <w:rFonts w:eastAsia="標楷體"/>
          <w:b/>
          <w:sz w:val="48"/>
          <w:szCs w:val="36"/>
        </w:rPr>
      </w:pPr>
    </w:p>
    <w:p w14:paraId="65D071E0" w14:textId="2ACE8567" w:rsidR="00202B48" w:rsidRDefault="00202B48" w:rsidP="00BD3A51">
      <w:pPr>
        <w:spacing w:line="276" w:lineRule="auto"/>
        <w:jc w:val="center"/>
        <w:rPr>
          <w:rFonts w:eastAsia="標楷體"/>
          <w:b/>
          <w:sz w:val="48"/>
          <w:szCs w:val="36"/>
        </w:rPr>
      </w:pPr>
      <w:r w:rsidRPr="00120FCD">
        <w:rPr>
          <w:rFonts w:eastAsia="標楷體"/>
          <w:b/>
          <w:sz w:val="48"/>
          <w:szCs w:val="36"/>
        </w:rPr>
        <w:t>第</w:t>
      </w:r>
      <w:r w:rsidR="006A2175">
        <w:rPr>
          <w:rFonts w:eastAsia="標楷體" w:hint="eastAsia"/>
          <w:b/>
          <w:sz w:val="48"/>
          <w:szCs w:val="36"/>
        </w:rPr>
        <w:t>28</w:t>
      </w:r>
      <w:r w:rsidRPr="00120FCD">
        <w:rPr>
          <w:rFonts w:eastAsia="標楷體"/>
          <w:b/>
          <w:sz w:val="48"/>
          <w:szCs w:val="36"/>
        </w:rPr>
        <w:t>單元</w:t>
      </w:r>
      <w:r w:rsidRPr="00120FCD">
        <w:rPr>
          <w:rFonts w:eastAsia="標楷體" w:hint="eastAsia"/>
          <w:b/>
          <w:sz w:val="48"/>
          <w:szCs w:val="36"/>
        </w:rPr>
        <w:t xml:space="preserve"> </w:t>
      </w:r>
    </w:p>
    <w:p w14:paraId="654AB9D7" w14:textId="7745FC3B" w:rsidR="00202B48" w:rsidRPr="0027693E" w:rsidRDefault="00202B48" w:rsidP="00BD3A51">
      <w:pPr>
        <w:spacing w:line="276" w:lineRule="auto"/>
        <w:jc w:val="center"/>
        <w:rPr>
          <w:rFonts w:eastAsia="標楷體"/>
          <w:b/>
          <w:sz w:val="48"/>
          <w:szCs w:val="36"/>
        </w:rPr>
      </w:pPr>
      <w:r w:rsidRPr="0027693E">
        <w:rPr>
          <w:rFonts w:eastAsia="標楷體"/>
          <w:b/>
          <w:sz w:val="48"/>
          <w:szCs w:val="36"/>
        </w:rPr>
        <w:t>集會結社自由</w:t>
      </w:r>
      <w:r w:rsidR="006A2175">
        <w:rPr>
          <w:rFonts w:eastAsia="標楷體"/>
          <w:b/>
          <w:sz w:val="48"/>
          <w:szCs w:val="36"/>
        </w:rPr>
        <w:t>（</w:t>
      </w:r>
      <w:r w:rsidR="006A2175">
        <w:rPr>
          <w:rFonts w:eastAsia="標楷體" w:hint="eastAsia"/>
          <w:b/>
          <w:sz w:val="48"/>
          <w:szCs w:val="36"/>
        </w:rPr>
        <w:t>二</w:t>
      </w:r>
      <w:r w:rsidR="0027693E" w:rsidRPr="0027693E">
        <w:rPr>
          <w:rFonts w:eastAsia="標楷體"/>
          <w:b/>
          <w:sz w:val="48"/>
          <w:szCs w:val="36"/>
        </w:rPr>
        <w:t>）</w:t>
      </w:r>
    </w:p>
    <w:p w14:paraId="7EC84F1C" w14:textId="77777777" w:rsidR="00202B48" w:rsidRPr="00E46332" w:rsidRDefault="00202B48" w:rsidP="00BD3A51">
      <w:pPr>
        <w:spacing w:line="276" w:lineRule="auto"/>
        <w:jc w:val="center"/>
        <w:rPr>
          <w:rFonts w:eastAsia="標楷體"/>
          <w:b/>
          <w:sz w:val="48"/>
          <w:szCs w:val="36"/>
        </w:rPr>
      </w:pPr>
    </w:p>
    <w:p w14:paraId="658FD57D" w14:textId="77777777" w:rsidR="00202B48" w:rsidRPr="00120FCD" w:rsidRDefault="00202B48" w:rsidP="00BD3A51">
      <w:pPr>
        <w:spacing w:line="276" w:lineRule="auto"/>
        <w:jc w:val="center"/>
        <w:rPr>
          <w:rFonts w:eastAsia="標楷體"/>
          <w:b/>
          <w:sz w:val="32"/>
          <w:szCs w:val="36"/>
        </w:rPr>
      </w:pPr>
    </w:p>
    <w:p w14:paraId="59FE010A" w14:textId="77777777" w:rsidR="00202B48" w:rsidRPr="00120FCD" w:rsidRDefault="00202B48" w:rsidP="00BD3A51">
      <w:pPr>
        <w:spacing w:line="276" w:lineRule="auto"/>
        <w:jc w:val="center"/>
        <w:rPr>
          <w:rFonts w:eastAsia="標楷體"/>
          <w:b/>
          <w:sz w:val="32"/>
          <w:szCs w:val="36"/>
        </w:rPr>
      </w:pPr>
      <w:r w:rsidRPr="00120FCD">
        <w:rPr>
          <w:rFonts w:eastAsia="標楷體"/>
          <w:b/>
          <w:sz w:val="32"/>
          <w:szCs w:val="36"/>
        </w:rPr>
        <w:t>授課教師：陳淳文</w:t>
      </w:r>
      <w:r w:rsidRPr="00120FCD">
        <w:rPr>
          <w:rFonts w:eastAsia="標楷體"/>
          <w:b/>
          <w:sz w:val="32"/>
          <w:szCs w:val="36"/>
        </w:rPr>
        <w:t xml:space="preserve"> </w:t>
      </w:r>
      <w:r w:rsidRPr="00120FCD">
        <w:rPr>
          <w:rFonts w:eastAsia="標楷體"/>
          <w:b/>
          <w:sz w:val="32"/>
          <w:szCs w:val="36"/>
        </w:rPr>
        <w:t>教授</w:t>
      </w:r>
    </w:p>
    <w:p w14:paraId="007AB44E" w14:textId="77777777" w:rsidR="00202B48" w:rsidRPr="00120FCD" w:rsidRDefault="00202B48" w:rsidP="00BD3A51">
      <w:pPr>
        <w:spacing w:line="276" w:lineRule="auto"/>
        <w:rPr>
          <w:b/>
          <w:szCs w:val="28"/>
        </w:rPr>
      </w:pPr>
    </w:p>
    <w:p w14:paraId="7E63B560" w14:textId="77777777" w:rsidR="00202B48" w:rsidRPr="00120FCD" w:rsidRDefault="00202B48" w:rsidP="00BD3A51">
      <w:pPr>
        <w:spacing w:line="276" w:lineRule="auto"/>
        <w:rPr>
          <w:b/>
          <w:szCs w:val="28"/>
        </w:rPr>
      </w:pPr>
    </w:p>
    <w:p w14:paraId="5232280D" w14:textId="77777777" w:rsidR="00202B48" w:rsidRPr="00120FCD" w:rsidRDefault="00202B48" w:rsidP="00BD3A51">
      <w:pPr>
        <w:spacing w:line="276" w:lineRule="auto"/>
        <w:rPr>
          <w:b/>
          <w:szCs w:val="28"/>
        </w:rPr>
      </w:pPr>
    </w:p>
    <w:p w14:paraId="6937499F" w14:textId="77777777" w:rsidR="00202B48" w:rsidRPr="00120FCD" w:rsidRDefault="00202B48" w:rsidP="00BD3A51">
      <w:pPr>
        <w:spacing w:line="276" w:lineRule="auto"/>
        <w:rPr>
          <w:b/>
          <w:szCs w:val="28"/>
        </w:rPr>
      </w:pPr>
      <w:r w:rsidRPr="00120FCD">
        <w:rPr>
          <w:b/>
          <w:szCs w:val="28"/>
        </w:rPr>
        <w:t xml:space="preserve">                                              </w:t>
      </w:r>
    </w:p>
    <w:p w14:paraId="09103CDF" w14:textId="77777777" w:rsidR="00202B48" w:rsidRPr="00120FCD" w:rsidRDefault="00202B48" w:rsidP="00BD3A51">
      <w:pPr>
        <w:spacing w:line="276" w:lineRule="auto"/>
        <w:rPr>
          <w:b/>
          <w:szCs w:val="28"/>
        </w:rPr>
      </w:pPr>
    </w:p>
    <w:p w14:paraId="4EFBDDE6" w14:textId="77777777" w:rsidR="00202B48" w:rsidRPr="00120FCD" w:rsidRDefault="00202B48" w:rsidP="00BD3A51">
      <w:pPr>
        <w:spacing w:line="276" w:lineRule="auto"/>
        <w:rPr>
          <w:b/>
          <w:szCs w:val="28"/>
        </w:rPr>
      </w:pPr>
    </w:p>
    <w:p w14:paraId="2F7CA4CF" w14:textId="77777777" w:rsidR="00202B48" w:rsidRPr="00147664" w:rsidRDefault="00202B48" w:rsidP="00BD3A51">
      <w:pPr>
        <w:spacing w:line="276" w:lineRule="auto"/>
        <w:jc w:val="center"/>
        <w:rPr>
          <w:rFonts w:eastAsia="標楷體"/>
          <w:b/>
          <w:bCs/>
        </w:rPr>
      </w:pPr>
      <w:r>
        <w:rPr>
          <w:b/>
          <w:szCs w:val="28"/>
        </w:rPr>
        <w:drawing>
          <wp:inline distT="0" distB="0" distL="0" distR="0" wp14:anchorId="273CD5FB" wp14:editId="63E9B3C1">
            <wp:extent cx="720725" cy="252095"/>
            <wp:effectExtent l="0" t="0" r="3175" b="0"/>
            <wp:docPr id="3" name="圖片 3" descr="描述: 描述: \\140.112.59.229\資源平台\資源平台\版權\版權ICON與範例\Creative Commens台灣2.5\icon_by-nc-sa.tif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描述: 描述: \\140.112.59.229\資源平台\資源平台\版權\版權ICON與範例\Creative Commens台灣2.5\icon_by-nc-sa.tif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725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7664">
        <w:rPr>
          <w:rFonts w:eastAsia="標楷體"/>
          <w:b/>
          <w:bCs/>
        </w:rPr>
        <w:t>【本著作除另有註明外，採取</w:t>
      </w:r>
    </w:p>
    <w:p w14:paraId="5BCB7463" w14:textId="759C52CC" w:rsidR="00202B48" w:rsidRPr="00147664" w:rsidRDefault="00727DC9" w:rsidP="00BD3A51">
      <w:pPr>
        <w:spacing w:line="276" w:lineRule="auto"/>
        <w:jc w:val="center"/>
        <w:rPr>
          <w:rFonts w:eastAsia="標楷體"/>
          <w:b/>
        </w:rPr>
      </w:pPr>
      <w:hyperlink r:id="rId10" w:history="1">
        <w:r w:rsidR="00202B48" w:rsidRPr="00147664">
          <w:rPr>
            <w:rFonts w:eastAsia="標楷體"/>
            <w:b/>
            <w:bCs/>
            <w:color w:val="0000FF"/>
            <w:u w:val="single"/>
          </w:rPr>
          <w:t>創用</w:t>
        </w:r>
      </w:hyperlink>
      <w:hyperlink r:id="rId11" w:history="1">
        <w:r w:rsidR="00202B48" w:rsidRPr="00147664">
          <w:rPr>
            <w:rFonts w:eastAsia="標楷體"/>
            <w:b/>
            <w:bCs/>
            <w:color w:val="0000FF"/>
            <w:u w:val="single"/>
          </w:rPr>
          <w:t>CC</w:t>
        </w:r>
      </w:hyperlink>
      <w:hyperlink r:id="rId12" w:history="1">
        <w:r w:rsidR="00202B48" w:rsidRPr="00147664">
          <w:rPr>
            <w:rFonts w:eastAsia="標楷體"/>
            <w:b/>
            <w:bCs/>
            <w:color w:val="0000FF"/>
            <w:u w:val="single"/>
          </w:rPr>
          <w:t>「姓名標示－非商業性－相同方式分享</w:t>
        </w:r>
        <w:r w:rsidR="00147664" w:rsidRPr="00147664">
          <w:rPr>
            <w:rFonts w:eastAsia="標楷體"/>
            <w:b/>
            <w:bCs/>
            <w:color w:val="0000FF"/>
            <w:u w:val="single"/>
          </w:rPr>
          <w:t>」臺</w:t>
        </w:r>
        <w:r w:rsidR="00202B48" w:rsidRPr="00147664">
          <w:rPr>
            <w:rFonts w:eastAsia="標楷體"/>
            <w:b/>
            <w:bCs/>
            <w:color w:val="0000FF"/>
            <w:u w:val="single"/>
          </w:rPr>
          <w:t>灣</w:t>
        </w:r>
      </w:hyperlink>
      <w:hyperlink r:id="rId13" w:history="1">
        <w:r w:rsidR="00202B48" w:rsidRPr="00147664">
          <w:rPr>
            <w:rFonts w:eastAsia="標楷體"/>
            <w:b/>
            <w:bCs/>
            <w:color w:val="0000FF"/>
            <w:u w:val="single"/>
          </w:rPr>
          <w:t>3.0</w:t>
        </w:r>
      </w:hyperlink>
      <w:hyperlink r:id="rId14" w:history="1">
        <w:r w:rsidR="00202B48" w:rsidRPr="00147664">
          <w:rPr>
            <w:rFonts w:eastAsia="標楷體"/>
            <w:b/>
            <w:bCs/>
            <w:color w:val="0000FF"/>
            <w:u w:val="single"/>
          </w:rPr>
          <w:t>版</w:t>
        </w:r>
      </w:hyperlink>
      <w:r w:rsidR="00202B48" w:rsidRPr="00147664">
        <w:rPr>
          <w:rFonts w:eastAsia="標楷體"/>
          <w:b/>
          <w:bCs/>
        </w:rPr>
        <w:t>授權釋出】</w:t>
      </w:r>
    </w:p>
    <w:p w14:paraId="0E9E6F5B" w14:textId="77777777" w:rsidR="00202B48" w:rsidRPr="00202B48" w:rsidRDefault="00202B48" w:rsidP="00BD3A51">
      <w:pPr>
        <w:spacing w:line="276" w:lineRule="auto"/>
        <w:jc w:val="center"/>
        <w:rPr>
          <w:b/>
          <w:bCs/>
          <w:sz w:val="36"/>
        </w:rPr>
      </w:pPr>
    </w:p>
    <w:p w14:paraId="1F44C4A7" w14:textId="77777777" w:rsidR="00202B48" w:rsidRDefault="00202B48" w:rsidP="00BD3A51">
      <w:pPr>
        <w:spacing w:line="276" w:lineRule="auto"/>
        <w:rPr>
          <w:b/>
          <w:bCs/>
          <w:sz w:val="36"/>
        </w:rPr>
      </w:pPr>
      <w:r>
        <w:rPr>
          <w:b/>
          <w:bCs/>
          <w:sz w:val="36"/>
        </w:rPr>
        <w:br w:type="page"/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8362"/>
      </w:tblGrid>
      <w:tr w:rsidR="00F331AA" w14:paraId="48C3925C" w14:textId="77777777" w:rsidTr="009A2323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2B67D0D7" w14:textId="473C9469" w:rsidR="00F331AA" w:rsidRPr="00BD3A51" w:rsidRDefault="00BD3A51" w:rsidP="00E07BF7">
            <w:pPr>
              <w:pStyle w:val="a3"/>
              <w:numPr>
                <w:ilvl w:val="0"/>
                <w:numId w:val="6"/>
              </w:numPr>
              <w:spacing w:line="276" w:lineRule="auto"/>
              <w:ind w:leftChars="0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核心條文→</w:t>
            </w:r>
            <w:r w:rsidR="00F331AA" w:rsidRPr="00BD3A51">
              <w:rPr>
                <w:rFonts w:hint="eastAsia"/>
                <w:bCs/>
              </w:rPr>
              <w:t>憲法第</w:t>
            </w:r>
            <w:r w:rsidR="00F331AA" w:rsidRPr="00BD3A51">
              <w:rPr>
                <w:rFonts w:hint="eastAsia"/>
                <w:bCs/>
              </w:rPr>
              <w:t>14</w:t>
            </w:r>
            <w:r w:rsidR="00F331AA" w:rsidRPr="00BD3A51">
              <w:rPr>
                <w:rFonts w:hint="eastAsia"/>
                <w:bCs/>
              </w:rPr>
              <w:t>條：「人民有集會及結社之自由。」</w:t>
            </w:r>
            <w:r>
              <w:rPr>
                <w:rFonts w:ascii="標楷體" w:eastAsia="標楷體" w:hAnsi="標楷體"/>
              </w:rPr>
              <w:drawing>
                <wp:inline distT="0" distB="0" distL="0" distR="0" wp14:anchorId="7A166DE9" wp14:editId="498387D1">
                  <wp:extent cx="222636" cy="195005"/>
                  <wp:effectExtent l="0" t="0" r="6350" b="0"/>
                  <wp:docPr id="6" name="圖片 6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791B9C" w14:textId="75A91F71" w:rsidR="007C2118" w:rsidRPr="00E07BF7" w:rsidRDefault="007C2118" w:rsidP="00E07BF7">
      <w:pPr>
        <w:spacing w:line="276" w:lineRule="auto"/>
        <w:rPr>
          <w:bCs/>
        </w:rPr>
      </w:pPr>
      <w:r w:rsidRPr="00202B48">
        <w:rPr>
          <w:bCs/>
        </w:rPr>
        <w:t>壹、概念</w:t>
      </w:r>
    </w:p>
    <w:p w14:paraId="3F24FA3A" w14:textId="6F842D30" w:rsidR="007C2118" w:rsidRDefault="00F331AA" w:rsidP="00E07BF7">
      <w:pPr>
        <w:pStyle w:val="a3"/>
        <w:numPr>
          <w:ilvl w:val="0"/>
          <w:numId w:val="3"/>
        </w:numPr>
        <w:spacing w:line="276" w:lineRule="auto"/>
        <w:ind w:leftChars="0"/>
      </w:pPr>
      <w:r>
        <w:t>靜態或動</w:t>
      </w:r>
      <w:r>
        <w:rPr>
          <w:rFonts w:hint="eastAsia"/>
        </w:rPr>
        <w:t>態</w:t>
      </w:r>
    </w:p>
    <w:tbl>
      <w:tblPr>
        <w:tblStyle w:val="ab"/>
        <w:tblW w:w="0" w:type="auto"/>
        <w:tblInd w:w="960" w:type="dxa"/>
        <w:tblLook w:val="04A0" w:firstRow="1" w:lastRow="0" w:firstColumn="1" w:lastColumn="0" w:noHBand="0" w:noVBand="1"/>
      </w:tblPr>
      <w:tblGrid>
        <w:gridCol w:w="7562"/>
      </w:tblGrid>
      <w:tr w:rsidR="00F331AA" w14:paraId="23C16D75" w14:textId="77777777" w:rsidTr="009A2323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3914C5D4" w14:textId="37E220E9" w:rsidR="00BD3A51" w:rsidRDefault="00BD3A51" w:rsidP="00E07BF7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</w:pPr>
            <w:r>
              <w:rPr>
                <w:rFonts w:hint="eastAsia"/>
              </w:rPr>
              <w:t>集會與遊行之差別：靜態與動態之不同。</w:t>
            </w:r>
          </w:p>
          <w:p w14:paraId="5D8072D0" w14:textId="5404533C" w:rsidR="00F331AA" w:rsidRDefault="00F331AA" w:rsidP="00E07BF7">
            <w:pPr>
              <w:pStyle w:val="a3"/>
              <w:numPr>
                <w:ilvl w:val="0"/>
                <w:numId w:val="7"/>
              </w:numPr>
              <w:spacing w:line="276" w:lineRule="auto"/>
              <w:ind w:leftChars="0"/>
            </w:pPr>
            <w:r>
              <w:rPr>
                <w:rFonts w:hint="eastAsia"/>
              </w:rPr>
              <w:t>憲法第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>條非只是靜態之</w:t>
            </w:r>
            <w:r w:rsidR="00BD3A51">
              <w:rPr>
                <w:rFonts w:hint="eastAsia"/>
              </w:rPr>
              <w:t>集會</w:t>
            </w:r>
            <w:r>
              <w:rPr>
                <w:rFonts w:hint="eastAsia"/>
              </w:rPr>
              <w:t>保障，亦包含動態之遊行部分。</w:t>
            </w:r>
          </w:p>
        </w:tc>
      </w:tr>
    </w:tbl>
    <w:p w14:paraId="08A052A6" w14:textId="16DEA59E" w:rsidR="007C2118" w:rsidRDefault="007C2118" w:rsidP="00E07BF7">
      <w:pPr>
        <w:pStyle w:val="a3"/>
        <w:numPr>
          <w:ilvl w:val="0"/>
          <w:numId w:val="3"/>
        </w:numPr>
        <w:spacing w:line="276" w:lineRule="auto"/>
        <w:ind w:leftChars="0"/>
      </w:pPr>
      <w:r w:rsidRPr="003D6B63">
        <w:t>臨時性、組織性、共同表意</w:t>
      </w:r>
    </w:p>
    <w:tbl>
      <w:tblPr>
        <w:tblStyle w:val="ab"/>
        <w:tblW w:w="0" w:type="auto"/>
        <w:tblInd w:w="960" w:type="dxa"/>
        <w:tblLook w:val="04A0" w:firstRow="1" w:lastRow="0" w:firstColumn="1" w:lastColumn="0" w:noHBand="0" w:noVBand="1"/>
      </w:tblPr>
      <w:tblGrid>
        <w:gridCol w:w="7562"/>
      </w:tblGrid>
      <w:tr w:rsidR="005C3DD3" w14:paraId="15FAD391" w14:textId="77777777" w:rsidTr="009A2323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44FA15CA" w14:textId="4B7E145A" w:rsidR="00BD3A51" w:rsidRDefault="00BD3A51" w:rsidP="00E07BF7">
            <w:pPr>
              <w:pStyle w:val="a3"/>
              <w:numPr>
                <w:ilvl w:val="0"/>
                <w:numId w:val="8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法律所關懷之集會結社究竟為何？</w:t>
            </w:r>
          </w:p>
          <w:p w14:paraId="2866BF4D" w14:textId="39758E5D" w:rsidR="00BD3A51" w:rsidRDefault="00BD3A51" w:rsidP="00E07BF7">
            <w:pPr>
              <w:pStyle w:val="a3"/>
              <w:numPr>
                <w:ilvl w:val="0"/>
                <w:numId w:val="8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思考：一群人包圍菲律賓駐台辦事處</w:t>
            </w:r>
            <w:r w:rsidR="0063637D">
              <w:rPr>
                <w:rFonts w:hint="eastAsia"/>
              </w:rPr>
              <w:t>表達抗議</w:t>
            </w:r>
            <w:r>
              <w:rPr>
                <w:rFonts w:hint="eastAsia"/>
              </w:rPr>
              <w:t>與一群人</w:t>
            </w:r>
            <w:r w:rsidR="005C3DD3">
              <w:rPr>
                <w:rFonts w:hint="eastAsia"/>
              </w:rPr>
              <w:t>在教室上課皆為某種形式之集會，兩者有何不同？</w:t>
            </w:r>
          </w:p>
          <w:p w14:paraId="667F9217" w14:textId="6E066EBA" w:rsidR="00BD3A51" w:rsidRDefault="005C3DD3" w:rsidP="00E07BF7">
            <w:pPr>
              <w:pStyle w:val="a3"/>
              <w:numPr>
                <w:ilvl w:val="0"/>
                <w:numId w:val="9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臨時性</w:t>
            </w:r>
            <w:r>
              <w:rPr>
                <w:rFonts w:hint="eastAsia"/>
              </w:rPr>
              <w:t>vs.</w:t>
            </w:r>
            <w:r w:rsidR="00BD3A51">
              <w:rPr>
                <w:rFonts w:hint="eastAsia"/>
              </w:rPr>
              <w:t>固（</w:t>
            </w:r>
            <w:r>
              <w:rPr>
                <w:rFonts w:hint="eastAsia"/>
              </w:rPr>
              <w:t>表</w:t>
            </w:r>
            <w:r w:rsidR="00BD3A51">
              <w:rPr>
                <w:rFonts w:hint="eastAsia"/>
              </w:rPr>
              <w:t>）</w:t>
            </w:r>
            <w:r>
              <w:rPr>
                <w:rFonts w:hint="eastAsia"/>
              </w:rPr>
              <w:t>定性。</w:t>
            </w:r>
          </w:p>
          <w:p w14:paraId="10DC6349" w14:textId="3E881CDE" w:rsidR="00BD3A51" w:rsidRDefault="00BD3A51" w:rsidP="00E07BF7">
            <w:pPr>
              <w:pStyle w:val="a3"/>
              <w:numPr>
                <w:ilvl w:val="0"/>
                <w:numId w:val="9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有無表達意志：前者有集體對外表達特定言論或意見</w:t>
            </w:r>
            <w:r w:rsidR="005C3DD3">
              <w:rPr>
                <w:rFonts w:hint="eastAsia"/>
              </w:rPr>
              <w:t>；後者則無。</w:t>
            </w:r>
          </w:p>
          <w:p w14:paraId="3F46B0D6" w14:textId="68B00D21" w:rsidR="005C3DD3" w:rsidRDefault="005C3DD3" w:rsidP="00E07BF7">
            <w:pPr>
              <w:pStyle w:val="a3"/>
              <w:numPr>
                <w:ilvl w:val="0"/>
                <w:numId w:val="9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組織性：</w:t>
            </w:r>
            <w:r w:rsidR="00BD3A51">
              <w:rPr>
                <w:rFonts w:hint="eastAsia"/>
              </w:rPr>
              <w:t>前者</w:t>
            </w:r>
            <w:r>
              <w:rPr>
                <w:rFonts w:hint="eastAsia"/>
              </w:rPr>
              <w:t>有</w:t>
            </w:r>
            <w:r w:rsidR="00BD3A51">
              <w:rPr>
                <w:rFonts w:hint="eastAsia"/>
              </w:rPr>
              <w:t>主要的領導者、動員者，</w:t>
            </w:r>
            <w:r w:rsidR="00024219">
              <w:rPr>
                <w:rFonts w:hint="eastAsia"/>
              </w:rPr>
              <w:t>活動</w:t>
            </w:r>
            <w:r w:rsidR="00BD3A51">
              <w:rPr>
                <w:rFonts w:hint="eastAsia"/>
              </w:rPr>
              <w:t>呈現</w:t>
            </w:r>
            <w:r w:rsidR="00024219">
              <w:rPr>
                <w:rFonts w:hint="eastAsia"/>
              </w:rPr>
              <w:t>某種</w:t>
            </w:r>
            <w:r w:rsidR="00BD3A51">
              <w:rPr>
                <w:rFonts w:hint="eastAsia"/>
              </w:rPr>
              <w:t>規</w:t>
            </w:r>
            <w:r w:rsidR="00024219">
              <w:rPr>
                <w:rFonts w:hint="eastAsia"/>
              </w:rPr>
              <w:t>律</w:t>
            </w:r>
            <w:r w:rsidR="00BD3A51">
              <w:rPr>
                <w:rFonts w:hint="eastAsia"/>
              </w:rPr>
              <w:t>性；後者則無</w:t>
            </w:r>
            <w:r w:rsidR="00024219">
              <w:rPr>
                <w:rFonts w:hint="eastAsia"/>
              </w:rPr>
              <w:t>此</w:t>
            </w:r>
            <w:r w:rsidR="00BD3A51">
              <w:rPr>
                <w:rFonts w:hint="eastAsia"/>
              </w:rPr>
              <w:t>明顯之組織性</w:t>
            </w:r>
            <w:r>
              <w:rPr>
                <w:rFonts w:hint="eastAsia"/>
              </w:rPr>
              <w:t>。</w:t>
            </w:r>
          </w:p>
        </w:tc>
      </w:tr>
    </w:tbl>
    <w:p w14:paraId="098F5A0A" w14:textId="62354BCF" w:rsidR="007C2118" w:rsidRDefault="007C2118" w:rsidP="00E07BF7">
      <w:pPr>
        <w:pStyle w:val="a3"/>
        <w:numPr>
          <w:ilvl w:val="0"/>
          <w:numId w:val="3"/>
        </w:numPr>
        <w:spacing w:line="276" w:lineRule="auto"/>
        <w:ind w:leftChars="0"/>
      </w:pPr>
      <w:r w:rsidRPr="003D6B63">
        <w:t>公共用物之非常態使用</w:t>
      </w:r>
    </w:p>
    <w:tbl>
      <w:tblPr>
        <w:tblStyle w:val="ab"/>
        <w:tblW w:w="0" w:type="auto"/>
        <w:tblInd w:w="960" w:type="dxa"/>
        <w:tblLook w:val="04A0" w:firstRow="1" w:lastRow="0" w:firstColumn="1" w:lastColumn="0" w:noHBand="0" w:noVBand="1"/>
      </w:tblPr>
      <w:tblGrid>
        <w:gridCol w:w="7562"/>
      </w:tblGrid>
      <w:tr w:rsidR="005C3DD3" w14:paraId="53754F4C" w14:textId="77777777" w:rsidTr="009A2323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2B0B5A3E" w14:textId="652DF164" w:rsidR="005C3DD3" w:rsidRDefault="005C3DD3" w:rsidP="00E07BF7">
            <w:pPr>
              <w:pStyle w:val="a3"/>
              <w:numPr>
                <w:ilvl w:val="0"/>
                <w:numId w:val="10"/>
              </w:numPr>
              <w:spacing w:line="276" w:lineRule="auto"/>
              <w:ind w:leftChars="0"/>
            </w:pPr>
            <w:r>
              <w:rPr>
                <w:rFonts w:hint="eastAsia"/>
              </w:rPr>
              <w:t>例如</w:t>
            </w:r>
            <w:r w:rsidR="00AE08FE">
              <w:rPr>
                <w:rFonts w:hint="eastAsia"/>
              </w:rPr>
              <w:t>廣場、道路</w:t>
            </w:r>
            <w:r>
              <w:rPr>
                <w:rFonts w:hint="eastAsia"/>
              </w:rPr>
              <w:t>等</w:t>
            </w:r>
            <w:r w:rsidR="00AE08FE">
              <w:rPr>
                <w:rFonts w:hint="eastAsia"/>
              </w:rPr>
              <w:t>公共用物之占用、使用</w:t>
            </w:r>
            <w:r>
              <w:rPr>
                <w:rFonts w:hint="eastAsia"/>
              </w:rPr>
              <w:t>。</w:t>
            </w:r>
          </w:p>
          <w:p w14:paraId="1FF34A47" w14:textId="4B1CE738" w:rsidR="006F6602" w:rsidRDefault="00AE08FE" w:rsidP="00E07BF7">
            <w:pPr>
              <w:pStyle w:val="a3"/>
              <w:numPr>
                <w:ilvl w:val="0"/>
                <w:numId w:val="10"/>
              </w:numPr>
              <w:spacing w:line="276" w:lineRule="auto"/>
              <w:ind w:leftChars="0"/>
            </w:pPr>
            <w:r>
              <w:rPr>
                <w:rFonts w:hint="eastAsia"/>
              </w:rPr>
              <w:t>結社部分較不</w:t>
            </w:r>
            <w:r w:rsidR="006F6602">
              <w:rPr>
                <w:rFonts w:hint="eastAsia"/>
              </w:rPr>
              <w:t>涉及公共用物之非常態使用。</w:t>
            </w:r>
          </w:p>
        </w:tc>
      </w:tr>
    </w:tbl>
    <w:p w14:paraId="06192860" w14:textId="77777777" w:rsidR="007C2118" w:rsidRPr="00202B48" w:rsidRDefault="007C2118" w:rsidP="00E07BF7">
      <w:pPr>
        <w:spacing w:line="276" w:lineRule="auto"/>
        <w:rPr>
          <w:bCs/>
        </w:rPr>
      </w:pPr>
      <w:r w:rsidRPr="00202B48">
        <w:rPr>
          <w:bCs/>
        </w:rPr>
        <w:t>貳、權利特性</w:t>
      </w:r>
    </w:p>
    <w:p w14:paraId="2EB14688" w14:textId="09221591" w:rsidR="007C2118" w:rsidRDefault="007C2118" w:rsidP="00E07BF7">
      <w:pPr>
        <w:pStyle w:val="a3"/>
        <w:numPr>
          <w:ilvl w:val="0"/>
          <w:numId w:val="4"/>
        </w:numPr>
        <w:spacing w:line="276" w:lineRule="auto"/>
        <w:ind w:leftChars="0"/>
      </w:pPr>
      <w:r w:rsidRPr="003D6B63">
        <w:t>集體性與衝突性</w:t>
      </w:r>
    </w:p>
    <w:tbl>
      <w:tblPr>
        <w:tblStyle w:val="ab"/>
        <w:tblW w:w="0" w:type="auto"/>
        <w:tblInd w:w="960" w:type="dxa"/>
        <w:tblLook w:val="04A0" w:firstRow="1" w:lastRow="0" w:firstColumn="1" w:lastColumn="0" w:noHBand="0" w:noVBand="1"/>
      </w:tblPr>
      <w:tblGrid>
        <w:gridCol w:w="7562"/>
      </w:tblGrid>
      <w:tr w:rsidR="0006183F" w14:paraId="09648CFC" w14:textId="77777777" w:rsidTr="009A2323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16958F8D" w14:textId="52CA511F" w:rsidR="00A762DE" w:rsidRDefault="0006183F" w:rsidP="00E07BF7">
            <w:pPr>
              <w:pStyle w:val="a3"/>
              <w:numPr>
                <w:ilvl w:val="0"/>
                <w:numId w:val="12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集體</w:t>
            </w:r>
            <w:r w:rsidR="00AE08FE">
              <w:rPr>
                <w:rFonts w:hint="eastAsia"/>
              </w:rPr>
              <w:t>性</w:t>
            </w:r>
            <w:r>
              <w:rPr>
                <w:rFonts w:hint="eastAsia"/>
              </w:rPr>
              <w:t>樣貌：</w:t>
            </w:r>
            <w:r w:rsidR="00AE08FE">
              <w:rPr>
                <w:rFonts w:hint="eastAsia"/>
              </w:rPr>
              <w:t>雖以個體自由作為出發，但是必</w:t>
            </w:r>
            <w:r>
              <w:rPr>
                <w:rFonts w:hint="eastAsia"/>
              </w:rPr>
              <w:t>須</w:t>
            </w:r>
            <w:r w:rsidR="00AE08FE">
              <w:rPr>
                <w:rFonts w:hint="eastAsia"/>
              </w:rPr>
              <w:t>要</w:t>
            </w:r>
            <w:r>
              <w:rPr>
                <w:rFonts w:hint="eastAsia"/>
              </w:rPr>
              <w:t>有一群人</w:t>
            </w:r>
            <w:r w:rsidR="00AE08FE">
              <w:rPr>
                <w:rFonts w:hint="eastAsia"/>
              </w:rPr>
              <w:t>聚</w:t>
            </w:r>
            <w:r>
              <w:rPr>
                <w:rFonts w:hint="eastAsia"/>
              </w:rPr>
              <w:t>在一起才能發揮效力，因此又形塑出集體權的樣貌。</w:t>
            </w:r>
            <w:r w:rsidR="00AE08FE">
              <w:rPr>
                <w:rFonts w:hint="eastAsia"/>
              </w:rPr>
              <w:t>亦即集會結社權並非真正的集體權概念，但本身卻又需要透過</w:t>
            </w:r>
            <w:r>
              <w:rPr>
                <w:rFonts w:hint="eastAsia"/>
              </w:rPr>
              <w:t>集體</w:t>
            </w:r>
            <w:r w:rsidR="00AE08FE">
              <w:rPr>
                <w:rFonts w:hint="eastAsia"/>
              </w:rPr>
              <w:t>的方式，</w:t>
            </w:r>
            <w:r>
              <w:rPr>
                <w:rFonts w:hint="eastAsia"/>
              </w:rPr>
              <w:t>才能形塑出某種力量。</w:t>
            </w:r>
          </w:p>
          <w:p w14:paraId="0C230DEB" w14:textId="77777777" w:rsidR="00A762DE" w:rsidRDefault="00F25B39" w:rsidP="00E07BF7">
            <w:pPr>
              <w:pStyle w:val="a3"/>
              <w:numPr>
                <w:ilvl w:val="0"/>
                <w:numId w:val="12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高度衝突性：比起其他權利而言，</w:t>
            </w:r>
            <w:r w:rsidR="00AE08FE">
              <w:rPr>
                <w:rFonts w:hint="eastAsia"/>
              </w:rPr>
              <w:t>集會結社權的</w:t>
            </w:r>
            <w:r w:rsidR="00A762DE">
              <w:rPr>
                <w:rFonts w:hint="eastAsia"/>
              </w:rPr>
              <w:t>衝突性更高</w:t>
            </w:r>
          </w:p>
          <w:p w14:paraId="49B930A3" w14:textId="6C84340A" w:rsidR="00A762DE" w:rsidRDefault="00F25B39" w:rsidP="00E07BF7">
            <w:pPr>
              <w:pStyle w:val="a3"/>
              <w:numPr>
                <w:ilvl w:val="0"/>
                <w:numId w:val="13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直接</w:t>
            </w:r>
            <w:r w:rsidR="007C5AB7">
              <w:rPr>
                <w:rFonts w:hint="eastAsia"/>
              </w:rPr>
              <w:t>衝突：</w:t>
            </w:r>
            <w:r w:rsidR="00EE704C">
              <w:rPr>
                <w:rFonts w:hint="eastAsia"/>
              </w:rPr>
              <w:t>集會結社權的行使，</w:t>
            </w:r>
            <w:r>
              <w:rPr>
                <w:rFonts w:hint="eastAsia"/>
              </w:rPr>
              <w:t>涉及</w:t>
            </w:r>
            <w:r w:rsidR="00EE704C">
              <w:rPr>
                <w:rFonts w:hint="eastAsia"/>
              </w:rPr>
              <w:t>特定</w:t>
            </w:r>
            <w:r>
              <w:rPr>
                <w:rFonts w:hint="eastAsia"/>
              </w:rPr>
              <w:t>意識形態、理念或利益</w:t>
            </w:r>
            <w:r w:rsidR="00EE704C">
              <w:rPr>
                <w:rFonts w:hint="eastAsia"/>
              </w:rPr>
              <w:t>的表達與訴求</w:t>
            </w:r>
            <w:r>
              <w:rPr>
                <w:rFonts w:hint="eastAsia"/>
              </w:rPr>
              <w:t>，在多元</w:t>
            </w:r>
            <w:r w:rsidR="00EE704C">
              <w:rPr>
                <w:rFonts w:hint="eastAsia"/>
              </w:rPr>
              <w:t>化</w:t>
            </w:r>
            <w:r>
              <w:rPr>
                <w:rFonts w:hint="eastAsia"/>
              </w:rPr>
              <w:t>社會中必然</w:t>
            </w:r>
            <w:r w:rsidR="00EE704C">
              <w:rPr>
                <w:rFonts w:hint="eastAsia"/>
              </w:rPr>
              <w:t>會面臨和其意識形態、理念或利益不同之敵對</w:t>
            </w:r>
            <w:r>
              <w:rPr>
                <w:rFonts w:hint="eastAsia"/>
              </w:rPr>
              <w:t>團體</w:t>
            </w:r>
            <w:r w:rsidR="00EE704C">
              <w:rPr>
                <w:rFonts w:hint="eastAsia"/>
              </w:rPr>
              <w:t>的挑戰，進而發生衝突</w:t>
            </w:r>
            <w:r>
              <w:rPr>
                <w:rFonts w:hint="eastAsia"/>
              </w:rPr>
              <w:t>。</w:t>
            </w:r>
          </w:p>
          <w:p w14:paraId="267248EE" w14:textId="39C5B53C" w:rsidR="00F25B39" w:rsidRDefault="00882150" w:rsidP="00E07BF7">
            <w:pPr>
              <w:pStyle w:val="a3"/>
              <w:numPr>
                <w:ilvl w:val="0"/>
                <w:numId w:val="13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間接</w:t>
            </w:r>
            <w:r w:rsidR="00F25B39">
              <w:rPr>
                <w:rFonts w:hint="eastAsia"/>
              </w:rPr>
              <w:t>衝突：</w:t>
            </w:r>
            <w:r>
              <w:rPr>
                <w:rFonts w:hint="eastAsia"/>
              </w:rPr>
              <w:t>非特定意識形態、理念或利益的</w:t>
            </w:r>
            <w:r w:rsidR="00A762DE">
              <w:rPr>
                <w:rFonts w:hint="eastAsia"/>
              </w:rPr>
              <w:t>直接衝突，</w:t>
            </w:r>
            <w:r>
              <w:rPr>
                <w:rFonts w:hint="eastAsia"/>
              </w:rPr>
              <w:t>是對集會遊行者，在集會遊行過程中</w:t>
            </w:r>
            <w:r w:rsidR="0032733D">
              <w:rPr>
                <w:rFonts w:hint="eastAsia"/>
              </w:rPr>
              <w:t>妨礙公共交通或是</w:t>
            </w:r>
            <w:r w:rsidR="007C5AB7">
              <w:rPr>
                <w:rFonts w:hint="eastAsia"/>
              </w:rPr>
              <w:t>遊行</w:t>
            </w:r>
            <w:r w:rsidR="0032733D">
              <w:rPr>
                <w:rFonts w:hint="eastAsia"/>
              </w:rPr>
              <w:t>結束</w:t>
            </w:r>
            <w:r w:rsidR="007C5AB7">
              <w:rPr>
                <w:rFonts w:hint="eastAsia"/>
              </w:rPr>
              <w:t>後之環境髒亂等</w:t>
            </w:r>
            <w:r w:rsidR="0032733D">
              <w:rPr>
                <w:rFonts w:hint="eastAsia"/>
              </w:rPr>
              <w:t>，表達不滿或不認同而產生之衝突</w:t>
            </w:r>
            <w:r w:rsidR="007C5AB7">
              <w:rPr>
                <w:rFonts w:hint="eastAsia"/>
              </w:rPr>
              <w:t>。</w:t>
            </w:r>
          </w:p>
        </w:tc>
      </w:tr>
    </w:tbl>
    <w:p w14:paraId="61EB95D6" w14:textId="26092BF0" w:rsidR="007C2118" w:rsidRDefault="007C2118" w:rsidP="00E07BF7">
      <w:pPr>
        <w:pStyle w:val="a3"/>
        <w:numPr>
          <w:ilvl w:val="0"/>
          <w:numId w:val="4"/>
        </w:numPr>
        <w:spacing w:line="276" w:lineRule="auto"/>
        <w:ind w:leftChars="0"/>
      </w:pPr>
      <w:r w:rsidRPr="003D6B63">
        <w:t>由消極至積極</w:t>
      </w:r>
    </w:p>
    <w:tbl>
      <w:tblPr>
        <w:tblStyle w:val="ab"/>
        <w:tblW w:w="0" w:type="auto"/>
        <w:tblInd w:w="960" w:type="dxa"/>
        <w:tblLook w:val="04A0" w:firstRow="1" w:lastRow="0" w:firstColumn="1" w:lastColumn="0" w:noHBand="0" w:noVBand="1"/>
      </w:tblPr>
      <w:tblGrid>
        <w:gridCol w:w="7562"/>
      </w:tblGrid>
      <w:tr w:rsidR="0006183F" w14:paraId="540CA5F4" w14:textId="77777777" w:rsidTr="009A2323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4DF1E5E0" w14:textId="52632906" w:rsidR="0006183F" w:rsidRDefault="0063637D" w:rsidP="00E07BF7">
            <w:pPr>
              <w:pStyle w:val="a3"/>
              <w:spacing w:line="276" w:lineRule="auto"/>
              <w:ind w:leftChars="0" w:left="0"/>
              <w:jc w:val="both"/>
            </w:pPr>
            <w:r>
              <w:rPr>
                <w:rFonts w:hint="eastAsia"/>
              </w:rPr>
              <w:t>對於人民集會結社權利</w:t>
            </w:r>
            <w:r w:rsidR="00387114">
              <w:rPr>
                <w:rFonts w:hint="eastAsia"/>
              </w:rPr>
              <w:t>的行使，過去比較傾向消極態度</w:t>
            </w:r>
            <w:r w:rsidR="0006183F">
              <w:rPr>
                <w:rFonts w:hint="eastAsia"/>
              </w:rPr>
              <w:t>，</w:t>
            </w:r>
            <w:r w:rsidR="00387114">
              <w:rPr>
                <w:rFonts w:hint="eastAsia"/>
              </w:rPr>
              <w:t>希望國家盡量不要介入或干預，使人民自由能有較大程度之保障</w:t>
            </w:r>
            <w:r w:rsidR="0006183F">
              <w:rPr>
                <w:rFonts w:hint="eastAsia"/>
              </w:rPr>
              <w:t>；</w:t>
            </w:r>
            <w:r w:rsidR="00387114">
              <w:rPr>
                <w:rFonts w:hint="eastAsia"/>
              </w:rPr>
              <w:t>至於</w:t>
            </w:r>
            <w:r w:rsidR="0006183F">
              <w:rPr>
                <w:rFonts w:hint="eastAsia"/>
              </w:rPr>
              <w:t>今日</w:t>
            </w:r>
            <w:r w:rsidR="00387114">
              <w:rPr>
                <w:rFonts w:hint="eastAsia"/>
              </w:rPr>
              <w:t>除了要求</w:t>
            </w:r>
            <w:r w:rsidR="0006183F">
              <w:rPr>
                <w:rFonts w:hint="eastAsia"/>
              </w:rPr>
              <w:t>國家</w:t>
            </w:r>
            <w:r>
              <w:rPr>
                <w:rFonts w:hint="eastAsia"/>
              </w:rPr>
              <w:t>不要限制</w:t>
            </w:r>
            <w:r w:rsidR="0006183F">
              <w:rPr>
                <w:rFonts w:hint="eastAsia"/>
              </w:rPr>
              <w:t>人民</w:t>
            </w:r>
            <w:r w:rsidR="00387114">
              <w:rPr>
                <w:rFonts w:hint="eastAsia"/>
              </w:rPr>
              <w:t>集會結社權能自由</w:t>
            </w:r>
            <w:r w:rsidR="0006183F">
              <w:rPr>
                <w:rFonts w:hint="eastAsia"/>
              </w:rPr>
              <w:t>行使</w:t>
            </w:r>
            <w:r w:rsidR="00387114">
              <w:rPr>
                <w:rFonts w:hint="eastAsia"/>
              </w:rPr>
              <w:t>之外</w:t>
            </w:r>
            <w:r w:rsidR="0006183F">
              <w:rPr>
                <w:rFonts w:hint="eastAsia"/>
              </w:rPr>
              <w:t>，</w:t>
            </w:r>
            <w:r w:rsidR="00387114">
              <w:rPr>
                <w:rFonts w:hint="eastAsia"/>
              </w:rPr>
              <w:t>尚</w:t>
            </w:r>
            <w:r w:rsidR="0006183F">
              <w:rPr>
                <w:rFonts w:hint="eastAsia"/>
              </w:rPr>
              <w:t>要求國家</w:t>
            </w:r>
            <w:r w:rsidR="00387114">
              <w:rPr>
                <w:rFonts w:hint="eastAsia"/>
              </w:rPr>
              <w:t>需積極介入管制，</w:t>
            </w:r>
            <w:r w:rsidR="0006183F">
              <w:rPr>
                <w:rFonts w:hint="eastAsia"/>
              </w:rPr>
              <w:t>確保集會遊行權利能夠</w:t>
            </w:r>
            <w:r w:rsidR="00F2375E">
              <w:rPr>
                <w:rFonts w:hint="eastAsia"/>
              </w:rPr>
              <w:t>具體</w:t>
            </w:r>
            <w:r w:rsidR="00387114">
              <w:rPr>
                <w:rFonts w:hint="eastAsia"/>
              </w:rPr>
              <w:t>落實</w:t>
            </w:r>
            <w:r w:rsidR="0006183F">
              <w:rPr>
                <w:rFonts w:hint="eastAsia"/>
              </w:rPr>
              <w:t>。</w:t>
            </w:r>
          </w:p>
        </w:tc>
      </w:tr>
    </w:tbl>
    <w:p w14:paraId="2393D0A9" w14:textId="77777777" w:rsidR="007C2118" w:rsidRPr="00202B48" w:rsidRDefault="007C2118" w:rsidP="00E07BF7">
      <w:pPr>
        <w:spacing w:line="276" w:lineRule="auto"/>
        <w:rPr>
          <w:bCs/>
        </w:rPr>
      </w:pPr>
      <w:r w:rsidRPr="00202B48">
        <w:rPr>
          <w:bCs/>
        </w:rPr>
        <w:t>參、管制檢討</w:t>
      </w:r>
    </w:p>
    <w:p w14:paraId="5D77EF8F" w14:textId="11E16CA1" w:rsidR="007C2118" w:rsidRDefault="007C2118" w:rsidP="00E07BF7">
      <w:pPr>
        <w:pStyle w:val="a3"/>
        <w:numPr>
          <w:ilvl w:val="0"/>
          <w:numId w:val="5"/>
        </w:numPr>
        <w:spacing w:line="276" w:lineRule="auto"/>
        <w:ind w:leftChars="0"/>
      </w:pPr>
      <w:r w:rsidRPr="003D6B63">
        <w:t>事前與事後</w:t>
      </w:r>
    </w:p>
    <w:p w14:paraId="5FAA77C6" w14:textId="31C9F49C" w:rsidR="006343AA" w:rsidRDefault="006343AA" w:rsidP="00E07BF7">
      <w:pPr>
        <w:pStyle w:val="a3"/>
        <w:numPr>
          <w:ilvl w:val="0"/>
          <w:numId w:val="16"/>
        </w:numPr>
        <w:spacing w:line="276" w:lineRule="auto"/>
        <w:ind w:leftChars="0"/>
      </w:pPr>
      <w:r>
        <w:rPr>
          <w:rFonts w:hint="eastAsia"/>
        </w:rPr>
        <w:t>許可制（預防制）之特色與問題</w:t>
      </w:r>
    </w:p>
    <w:tbl>
      <w:tblPr>
        <w:tblStyle w:val="ab"/>
        <w:tblW w:w="0" w:type="auto"/>
        <w:tblInd w:w="1680" w:type="dxa"/>
        <w:tblLook w:val="04A0" w:firstRow="1" w:lastRow="0" w:firstColumn="1" w:lastColumn="0" w:noHBand="0" w:noVBand="1"/>
      </w:tblPr>
      <w:tblGrid>
        <w:gridCol w:w="6842"/>
      </w:tblGrid>
      <w:tr w:rsidR="00D378CF" w14:paraId="059B9539" w14:textId="77777777" w:rsidTr="009A2323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12AD9F61" w14:textId="2046CE4E" w:rsidR="00D378CF" w:rsidRDefault="00FE442E" w:rsidP="00E07BF7">
            <w:pPr>
              <w:pStyle w:val="a3"/>
              <w:numPr>
                <w:ilvl w:val="0"/>
                <w:numId w:val="17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lastRenderedPageBreak/>
              <w:t>意涵</w:t>
            </w:r>
            <w:r w:rsidR="00D378CF">
              <w:rPr>
                <w:rFonts w:hint="eastAsia"/>
              </w:rPr>
              <w:t>：欲舉辦集會遊行之團體須先提出申請，並由相關單位審核通過才可集會遊行。</w:t>
            </w:r>
          </w:p>
          <w:p w14:paraId="2763AD64" w14:textId="1B9EFEA2" w:rsidR="00FE442E" w:rsidRDefault="00FE442E" w:rsidP="00E07BF7">
            <w:pPr>
              <w:pStyle w:val="a3"/>
              <w:numPr>
                <w:ilvl w:val="0"/>
                <w:numId w:val="17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性質：事前管制，有預防性意味。</w:t>
            </w:r>
          </w:p>
          <w:p w14:paraId="3D9B43C6" w14:textId="077E16DB" w:rsidR="00FE442E" w:rsidRDefault="00FE442E" w:rsidP="00E07BF7">
            <w:pPr>
              <w:pStyle w:val="a3"/>
              <w:numPr>
                <w:ilvl w:val="0"/>
                <w:numId w:val="17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優缺點：</w:t>
            </w:r>
          </w:p>
          <w:p w14:paraId="07539804" w14:textId="64BDCA5F" w:rsidR="00FE442E" w:rsidRDefault="00FE442E" w:rsidP="00E07BF7">
            <w:pPr>
              <w:pStyle w:val="a3"/>
              <w:numPr>
                <w:ilvl w:val="0"/>
                <w:numId w:val="19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優點：國家可事先做通盤考量，有利警力調度、秩序維持及交通替代道路之規劃。</w:t>
            </w:r>
          </w:p>
          <w:p w14:paraId="4698889D" w14:textId="1ECD0818" w:rsidR="00FE442E" w:rsidRDefault="00FE442E" w:rsidP="00E07BF7">
            <w:pPr>
              <w:pStyle w:val="a3"/>
              <w:numPr>
                <w:ilvl w:val="0"/>
                <w:numId w:val="19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缺點：國家可能以申請之准駁，阻擋某些集會遊行之舉行，侵害某些人的集會遊行權利。</w:t>
            </w:r>
          </w:p>
          <w:p w14:paraId="29C817C5" w14:textId="4D0B5331" w:rsidR="00D378CF" w:rsidRDefault="00D378CF" w:rsidP="00E07BF7">
            <w:pPr>
              <w:pStyle w:val="a3"/>
              <w:numPr>
                <w:ilvl w:val="0"/>
                <w:numId w:val="17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原則許可、例外許可至準則許可制</w:t>
            </w:r>
            <w:r w:rsidR="002939D9">
              <w:rPr>
                <w:rFonts w:hint="eastAsia"/>
              </w:rPr>
              <w:t>：在許可制的概念下，尚可依立法設計與實際適用法律</w:t>
            </w:r>
            <w:r w:rsidR="0063637D">
              <w:rPr>
                <w:rFonts w:hint="eastAsia"/>
              </w:rPr>
              <w:t>態度之不同，</w:t>
            </w:r>
            <w:r w:rsidR="002939D9">
              <w:rPr>
                <w:rFonts w:hint="eastAsia"/>
              </w:rPr>
              <w:t>而可分為原則許可制，例外許可制與準則許可制等三種次類型。</w:t>
            </w:r>
          </w:p>
          <w:p w14:paraId="2A0B1118" w14:textId="17E129A7" w:rsidR="00D378CF" w:rsidRDefault="00D378CF" w:rsidP="00E07BF7">
            <w:pPr>
              <w:pStyle w:val="a3"/>
              <w:numPr>
                <w:ilvl w:val="0"/>
                <w:numId w:val="17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警察裁量濫用</w:t>
            </w:r>
            <w:r w:rsidR="002939D9">
              <w:rPr>
                <w:rFonts w:hint="eastAsia"/>
              </w:rPr>
              <w:t>：若要在許可制下避免警察（主管機關）濫權，應建立及時有效的救濟制度。</w:t>
            </w:r>
          </w:p>
        </w:tc>
      </w:tr>
    </w:tbl>
    <w:p w14:paraId="1BAC085F" w14:textId="5972937C" w:rsidR="006343AA" w:rsidRDefault="006343AA" w:rsidP="00E07BF7">
      <w:pPr>
        <w:pStyle w:val="a3"/>
        <w:numPr>
          <w:ilvl w:val="0"/>
          <w:numId w:val="16"/>
        </w:numPr>
        <w:spacing w:line="276" w:lineRule="auto"/>
        <w:ind w:leftChars="0"/>
      </w:pPr>
      <w:r>
        <w:rPr>
          <w:rFonts w:hint="eastAsia"/>
        </w:rPr>
        <w:t>報備制（追懲制）之主張與問題</w:t>
      </w:r>
    </w:p>
    <w:tbl>
      <w:tblPr>
        <w:tblStyle w:val="ab"/>
        <w:tblW w:w="0" w:type="auto"/>
        <w:tblInd w:w="1680" w:type="dxa"/>
        <w:tblLook w:val="04A0" w:firstRow="1" w:lastRow="0" w:firstColumn="1" w:lastColumn="0" w:noHBand="0" w:noVBand="1"/>
      </w:tblPr>
      <w:tblGrid>
        <w:gridCol w:w="6842"/>
      </w:tblGrid>
      <w:tr w:rsidR="00FE442E" w14:paraId="35666141" w14:textId="77777777" w:rsidTr="009A2323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2E2AA475" w14:textId="77777777" w:rsidR="00FE442E" w:rsidRDefault="00FE442E" w:rsidP="00E07BF7">
            <w:pPr>
              <w:pStyle w:val="a3"/>
              <w:numPr>
                <w:ilvl w:val="0"/>
                <w:numId w:val="18"/>
              </w:numPr>
              <w:spacing w:line="276" w:lineRule="auto"/>
              <w:ind w:leftChars="0"/>
            </w:pPr>
            <w:r>
              <w:rPr>
                <w:rFonts w:hint="eastAsia"/>
              </w:rPr>
              <w:t>意涵：欲集會遊行之人，只要向有關單位報備即可，不待有關單位批准與否，亦即國家不得對集會遊行申請人作許可與否之限制。惟事後若發現有違法或不當之情事發生，仍須受到一定之法律制裁。</w:t>
            </w:r>
          </w:p>
          <w:p w14:paraId="34F3F273" w14:textId="77777777" w:rsidR="00FE442E" w:rsidRDefault="00FE442E" w:rsidP="00E07BF7">
            <w:pPr>
              <w:pStyle w:val="a3"/>
              <w:numPr>
                <w:ilvl w:val="0"/>
                <w:numId w:val="18"/>
              </w:numPr>
              <w:spacing w:line="276" w:lineRule="auto"/>
              <w:ind w:leftChars="0"/>
            </w:pPr>
            <w:r>
              <w:rPr>
                <w:rFonts w:hint="eastAsia"/>
              </w:rPr>
              <w:t>性質：事後管制，屬抑制性、追懲性之效果。</w:t>
            </w:r>
          </w:p>
          <w:p w14:paraId="0DA8E65E" w14:textId="77777777" w:rsidR="00FE442E" w:rsidRDefault="00FE442E" w:rsidP="00E07BF7">
            <w:pPr>
              <w:pStyle w:val="a3"/>
              <w:numPr>
                <w:ilvl w:val="0"/>
                <w:numId w:val="18"/>
              </w:numPr>
              <w:spacing w:line="276" w:lineRule="auto"/>
              <w:ind w:leftChars="0"/>
            </w:pPr>
            <w:r>
              <w:rPr>
                <w:rFonts w:hint="eastAsia"/>
              </w:rPr>
              <w:t>優缺點：</w:t>
            </w:r>
          </w:p>
          <w:p w14:paraId="239A6DA8" w14:textId="0645FA60" w:rsidR="00FE442E" w:rsidRDefault="00FE442E" w:rsidP="00E07BF7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</w:pPr>
            <w:r>
              <w:rPr>
                <w:rFonts w:hint="eastAsia"/>
              </w:rPr>
              <w:t>優點：</w:t>
            </w:r>
            <w:r w:rsidR="00943073">
              <w:rPr>
                <w:rFonts w:hint="eastAsia"/>
              </w:rPr>
              <w:t>對人民之集會結社權較有保障。</w:t>
            </w:r>
          </w:p>
          <w:p w14:paraId="766D80C6" w14:textId="5F43F76C" w:rsidR="00FE442E" w:rsidRDefault="00FE442E" w:rsidP="002939D9">
            <w:pPr>
              <w:pStyle w:val="a3"/>
              <w:numPr>
                <w:ilvl w:val="0"/>
                <w:numId w:val="20"/>
              </w:numPr>
              <w:spacing w:line="276" w:lineRule="auto"/>
              <w:ind w:leftChars="0"/>
            </w:pPr>
            <w:r>
              <w:rPr>
                <w:rFonts w:hint="eastAsia"/>
              </w:rPr>
              <w:t>缺點：</w:t>
            </w:r>
            <w:r w:rsidR="0084389F">
              <w:rPr>
                <w:rFonts w:hint="eastAsia"/>
              </w:rPr>
              <w:t>警力來不及調配，造成周邊秩序混亂</w:t>
            </w:r>
            <w:r w:rsidR="002939D9">
              <w:rPr>
                <w:rFonts w:hint="eastAsia"/>
              </w:rPr>
              <w:t>，影響其他人之自由，甚至造成激烈衝突。</w:t>
            </w:r>
          </w:p>
          <w:p w14:paraId="61F2155A" w14:textId="0A6E4773" w:rsidR="00FE442E" w:rsidRDefault="002939D9" w:rsidP="00E07BF7">
            <w:pPr>
              <w:pStyle w:val="a3"/>
              <w:numPr>
                <w:ilvl w:val="0"/>
                <w:numId w:val="18"/>
              </w:numPr>
              <w:spacing w:line="276" w:lineRule="auto"/>
              <w:ind w:leftChars="0"/>
            </w:pPr>
            <w:r>
              <w:rPr>
                <w:rFonts w:hint="eastAsia"/>
              </w:rPr>
              <w:t>自願報備制與強制報備制：前者可謂完全自由，國家僅有確保集遊權得以落實之義務。後者則尚存有管制之意味，因為違反強制報備制，應有制裁機制，否則即不得謂之強制。</w:t>
            </w:r>
          </w:p>
          <w:p w14:paraId="5449FC71" w14:textId="70B7B208" w:rsidR="00FE442E" w:rsidRDefault="002939D9" w:rsidP="00E07BF7">
            <w:pPr>
              <w:pStyle w:val="a3"/>
              <w:numPr>
                <w:ilvl w:val="0"/>
                <w:numId w:val="18"/>
              </w:numPr>
              <w:spacing w:line="276" w:lineRule="auto"/>
              <w:ind w:leftChars="0"/>
            </w:pPr>
            <w:r>
              <w:rPr>
                <w:rFonts w:hint="eastAsia"/>
              </w:rPr>
              <w:t>主張</w:t>
            </w:r>
            <w:r w:rsidR="00FE442E">
              <w:rPr>
                <w:rFonts w:hint="eastAsia"/>
              </w:rPr>
              <w:t>自願報備制</w:t>
            </w:r>
            <w:r>
              <w:rPr>
                <w:rFonts w:hint="eastAsia"/>
              </w:rPr>
              <w:t>者，應慮及公權力如何能有效</w:t>
            </w:r>
            <w:r w:rsidR="00FE442E">
              <w:rPr>
                <w:rFonts w:hint="eastAsia"/>
              </w:rPr>
              <w:t>維護</w:t>
            </w:r>
            <w:r>
              <w:rPr>
                <w:rFonts w:hint="eastAsia"/>
              </w:rPr>
              <w:t>秩序？</w:t>
            </w:r>
          </w:p>
        </w:tc>
      </w:tr>
    </w:tbl>
    <w:p w14:paraId="0940E5AC" w14:textId="5235C5F4" w:rsidR="00FE442E" w:rsidRDefault="00FE442E" w:rsidP="004E5A67">
      <w:pPr>
        <w:pStyle w:val="a3"/>
        <w:numPr>
          <w:ilvl w:val="0"/>
          <w:numId w:val="16"/>
        </w:numPr>
        <w:spacing w:line="276" w:lineRule="auto"/>
        <w:ind w:leftChars="0"/>
      </w:pPr>
      <w:r>
        <w:rPr>
          <w:rFonts w:hint="eastAsia"/>
        </w:rPr>
        <w:t>何種管制</w:t>
      </w:r>
      <w:r w:rsidR="002939D9">
        <w:rPr>
          <w:rFonts w:hint="eastAsia"/>
        </w:rPr>
        <w:t>手段</w:t>
      </w:r>
      <w:r>
        <w:rPr>
          <w:rFonts w:hint="eastAsia"/>
        </w:rPr>
        <w:t>較理想妥適？</w:t>
      </w:r>
    </w:p>
    <w:tbl>
      <w:tblPr>
        <w:tblStyle w:val="ab"/>
        <w:tblW w:w="0" w:type="auto"/>
        <w:tblInd w:w="1680" w:type="dxa"/>
        <w:tblLook w:val="04A0" w:firstRow="1" w:lastRow="0" w:firstColumn="1" w:lastColumn="0" w:noHBand="0" w:noVBand="1"/>
      </w:tblPr>
      <w:tblGrid>
        <w:gridCol w:w="6842"/>
      </w:tblGrid>
      <w:tr w:rsidR="00FE442E" w14:paraId="5D27C51C" w14:textId="77777777" w:rsidTr="009A2323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1D9C8C9D" w14:textId="7FDC940F" w:rsidR="0084389F" w:rsidRDefault="00F70F48" w:rsidP="004E5A67">
            <w:pPr>
              <w:pStyle w:val="a3"/>
              <w:numPr>
                <w:ilvl w:val="0"/>
                <w:numId w:val="21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事前管制可維護公益與他人權利，但畏懼行政權濫權，事後管制則確保集遊權，但如何有效維護公益與他人權利</w:t>
            </w:r>
            <w:r w:rsidR="0084389F">
              <w:rPr>
                <w:rFonts w:hint="eastAsia"/>
              </w:rPr>
              <w:t>？</w:t>
            </w:r>
            <w:r>
              <w:rPr>
                <w:rFonts w:hint="eastAsia"/>
              </w:rPr>
              <w:t>如果商業廣告可以允許事前管制，為何集遊權不得允許事前管制而採許可制？</w:t>
            </w:r>
          </w:p>
          <w:p w14:paraId="4C290FDD" w14:textId="4A0959BC" w:rsidR="00F70F48" w:rsidRDefault="00F70F48" w:rsidP="004E5A67">
            <w:pPr>
              <w:pStyle w:val="a3"/>
              <w:numPr>
                <w:ilvl w:val="0"/>
                <w:numId w:val="21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重點似不在事前或事後，而在於是否有有效且及時之</w:t>
            </w:r>
            <w:r w:rsidR="00C32BB1">
              <w:rPr>
                <w:rFonts w:hint="eastAsia"/>
              </w:rPr>
              <w:t>司法</w:t>
            </w:r>
            <w:r>
              <w:rPr>
                <w:rFonts w:hint="eastAsia"/>
              </w:rPr>
              <w:t>救濟制度。</w:t>
            </w:r>
          </w:p>
          <w:p w14:paraId="374A93D1" w14:textId="0D1B8EF0" w:rsidR="00FE442E" w:rsidRDefault="0084389F" w:rsidP="004E5A67">
            <w:pPr>
              <w:pStyle w:val="a3"/>
              <w:numPr>
                <w:ilvl w:val="0"/>
                <w:numId w:val="21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若</w:t>
            </w:r>
            <w:r w:rsidR="001E4871">
              <w:rPr>
                <w:rFonts w:hint="eastAsia"/>
              </w:rPr>
              <w:t>採報備制，同一場地同時有兩個不同的（甚至是相對立的）團體皆欲在此地</w:t>
            </w:r>
            <w:r>
              <w:rPr>
                <w:rFonts w:hint="eastAsia"/>
              </w:rPr>
              <w:t>集會遊行時，該怎麼辦？例如凱達格蘭大道。</w:t>
            </w:r>
            <w:r w:rsidR="00F70F48">
              <w:rPr>
                <w:rFonts w:hint="eastAsia"/>
              </w:rPr>
              <w:t>制度設計上也許可有下列方式：</w:t>
            </w:r>
          </w:p>
          <w:p w14:paraId="53D975B6" w14:textId="1C9F5350" w:rsidR="00D43FEA" w:rsidRDefault="00D43FEA" w:rsidP="004E5A67">
            <w:pPr>
              <w:pStyle w:val="a3"/>
              <w:numPr>
                <w:ilvl w:val="0"/>
                <w:numId w:val="22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登記制：</w:t>
            </w:r>
            <w:r w:rsidR="00F70F48">
              <w:rPr>
                <w:rFonts w:hint="eastAsia"/>
              </w:rPr>
              <w:t>先登記者優先，但如何處理技術性阻撓問題</w:t>
            </w:r>
            <w:r>
              <w:rPr>
                <w:rFonts w:hint="eastAsia"/>
              </w:rPr>
              <w:t>？</w:t>
            </w:r>
          </w:p>
          <w:p w14:paraId="5078E1E2" w14:textId="31736187" w:rsidR="00D43FEA" w:rsidRDefault="00D43FEA" w:rsidP="004E5A67">
            <w:pPr>
              <w:pStyle w:val="a3"/>
              <w:numPr>
                <w:ilvl w:val="0"/>
                <w:numId w:val="22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lastRenderedPageBreak/>
              <w:t>保證金制：弱勢者何來財力提供保證？</w:t>
            </w:r>
          </w:p>
          <w:p w14:paraId="573D13A7" w14:textId="178C98C7" w:rsidR="00D43FEA" w:rsidRPr="0084389F" w:rsidRDefault="00D43FEA" w:rsidP="004E5A67">
            <w:pPr>
              <w:pStyle w:val="a3"/>
              <w:numPr>
                <w:ilvl w:val="0"/>
                <w:numId w:val="22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協商制：如何協調出結果？</w:t>
            </w:r>
          </w:p>
        </w:tc>
      </w:tr>
    </w:tbl>
    <w:p w14:paraId="4036BFD4" w14:textId="63330D8A" w:rsidR="007C2118" w:rsidRDefault="007C2118" w:rsidP="004E5A67">
      <w:pPr>
        <w:pStyle w:val="a3"/>
        <w:numPr>
          <w:ilvl w:val="0"/>
          <w:numId w:val="5"/>
        </w:numPr>
        <w:spacing w:line="276" w:lineRule="auto"/>
        <w:ind w:leftChars="0"/>
      </w:pPr>
      <w:r w:rsidRPr="003D6B63">
        <w:lastRenderedPageBreak/>
        <w:t>內容與非內容</w:t>
      </w:r>
    </w:p>
    <w:tbl>
      <w:tblPr>
        <w:tblStyle w:val="ab"/>
        <w:tblW w:w="0" w:type="auto"/>
        <w:tblInd w:w="960" w:type="dxa"/>
        <w:tblLook w:val="04A0" w:firstRow="1" w:lastRow="0" w:firstColumn="1" w:lastColumn="0" w:noHBand="0" w:noVBand="1"/>
      </w:tblPr>
      <w:tblGrid>
        <w:gridCol w:w="7562"/>
      </w:tblGrid>
      <w:tr w:rsidR="00FC2974" w14:paraId="7B084DD0" w14:textId="77777777" w:rsidTr="009A2323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0640B264" w14:textId="5E7EEDBC" w:rsidR="00FC2974" w:rsidRDefault="00E07BF7" w:rsidP="0005787F">
            <w:pPr>
              <w:pStyle w:val="a3"/>
              <w:numPr>
                <w:ilvl w:val="0"/>
                <w:numId w:val="30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虛擬案例：</w:t>
            </w:r>
            <w:r w:rsidR="001E4871">
              <w:rPr>
                <w:rFonts w:hint="eastAsia"/>
              </w:rPr>
              <w:t>對於我國漁民遭菲警射殺身亡一事，</w:t>
            </w:r>
            <w:r>
              <w:rPr>
                <w:rFonts w:hint="eastAsia"/>
              </w:rPr>
              <w:t>菲律賓派代表來台協商，某群人決定到機場圍堵該代表，不讓該代表入境，依照《集會遊行法</w:t>
            </w:r>
            <w:r w:rsidR="0005787F">
              <w:rPr>
                <w:rFonts w:hint="eastAsia"/>
              </w:rPr>
              <w:t>》的規定：「</w:t>
            </w:r>
            <w:r>
              <w:rPr>
                <w:rFonts w:hint="eastAsia"/>
              </w:rPr>
              <w:t>機場</w:t>
            </w:r>
            <w:r>
              <w:rPr>
                <w:rFonts w:hint="eastAsia"/>
              </w:rPr>
              <w:t>300</w:t>
            </w:r>
            <w:r w:rsidR="0005787F">
              <w:rPr>
                <w:rFonts w:hint="eastAsia"/>
              </w:rPr>
              <w:t>公尺之內禁止集會遊行」</w:t>
            </w:r>
            <w:r>
              <w:rPr>
                <w:rFonts w:hint="eastAsia"/>
              </w:rPr>
              <w:t>，因此警方對這群人進行驅離</w:t>
            </w:r>
            <w:r w:rsidR="0005787F">
              <w:rPr>
                <w:rFonts w:hint="eastAsia"/>
              </w:rPr>
              <w:t>。</w:t>
            </w:r>
            <w:r w:rsidR="001E4871">
              <w:rPr>
                <w:rFonts w:hint="eastAsia"/>
              </w:rPr>
              <w:t>人民可否主張機場禁制區</w:t>
            </w:r>
            <w:r w:rsidR="00FE330C">
              <w:rPr>
                <w:rFonts w:hint="eastAsia"/>
              </w:rPr>
              <w:t>規定為限？</w:t>
            </w:r>
            <w:r w:rsidR="0005787F">
              <w:rPr>
                <w:rFonts w:hint="eastAsia"/>
              </w:rPr>
              <w:t>之後該代表順利入境，準備到台北下榻的飯店，警方</w:t>
            </w:r>
            <w:r w:rsidR="001E4871">
              <w:rPr>
                <w:rFonts w:hint="eastAsia"/>
              </w:rPr>
              <w:t>暫時性</w:t>
            </w:r>
            <w:r w:rsidR="0005787F">
              <w:rPr>
                <w:rFonts w:hint="eastAsia"/>
              </w:rPr>
              <w:t>封閉某一車道</w:t>
            </w:r>
            <w:r w:rsidR="001E4871">
              <w:rPr>
                <w:rFonts w:hint="eastAsia"/>
              </w:rPr>
              <w:t>以利其通行並避免危險，人民是否可以主張其用路權遭侵害</w:t>
            </w:r>
            <w:r w:rsidR="0005787F">
              <w:rPr>
                <w:rFonts w:hint="eastAsia"/>
              </w:rPr>
              <w:t>？又該群抗議民眾知曉代表的下榻處之後，</w:t>
            </w:r>
            <w:r w:rsidR="001E4871">
              <w:rPr>
                <w:rFonts w:hint="eastAsia"/>
              </w:rPr>
              <w:t>未經申請</w:t>
            </w:r>
            <w:r w:rsidR="0005787F">
              <w:rPr>
                <w:rFonts w:hint="eastAsia"/>
              </w:rPr>
              <w:t>立即前往飯店外進行集會遊行，警方則以</w:t>
            </w:r>
            <w:r w:rsidR="001E4871">
              <w:rPr>
                <w:rFonts w:hint="eastAsia"/>
              </w:rPr>
              <w:t>未經申請，</w:t>
            </w:r>
            <w:r w:rsidR="0005787F">
              <w:rPr>
                <w:rFonts w:hint="eastAsia"/>
              </w:rPr>
              <w:t>危害交通</w:t>
            </w:r>
            <w:r w:rsidR="001E4871">
              <w:rPr>
                <w:rFonts w:hint="eastAsia"/>
              </w:rPr>
              <w:t>與飯店正常營運為由進行驅離，是問警方此舉是否合法？最後，有抗議民眾</w:t>
            </w:r>
            <w:r w:rsidR="0005787F">
              <w:rPr>
                <w:rFonts w:hint="eastAsia"/>
              </w:rPr>
              <w:t>借住宿</w:t>
            </w:r>
            <w:r w:rsidR="001E4871">
              <w:rPr>
                <w:rFonts w:hint="eastAsia"/>
              </w:rPr>
              <w:t>該飯店之便，</w:t>
            </w:r>
            <w:r w:rsidR="0005787F">
              <w:rPr>
                <w:rFonts w:hint="eastAsia"/>
              </w:rPr>
              <w:t>在</w:t>
            </w:r>
            <w:r w:rsidR="001E4871">
              <w:rPr>
                <w:rFonts w:hint="eastAsia"/>
              </w:rPr>
              <w:t>該飯店窗戶外面掛布條抗議，警方可否強行將此抗議布條除去</w:t>
            </w:r>
            <w:r w:rsidR="0005787F">
              <w:rPr>
                <w:rFonts w:hint="eastAsia"/>
              </w:rPr>
              <w:t>？</w:t>
            </w:r>
          </w:p>
        </w:tc>
      </w:tr>
    </w:tbl>
    <w:p w14:paraId="70C6A00D" w14:textId="460E52B9" w:rsidR="00A762DE" w:rsidRDefault="00A762DE" w:rsidP="004E5A67">
      <w:pPr>
        <w:pStyle w:val="a3"/>
        <w:numPr>
          <w:ilvl w:val="0"/>
          <w:numId w:val="14"/>
        </w:numPr>
        <w:spacing w:line="276" w:lineRule="auto"/>
        <w:ind w:leftChars="0"/>
      </w:pPr>
      <w:r>
        <w:rPr>
          <w:rFonts w:hint="eastAsia"/>
        </w:rPr>
        <w:t>內容管制</w:t>
      </w:r>
    </w:p>
    <w:tbl>
      <w:tblPr>
        <w:tblStyle w:val="ab"/>
        <w:tblW w:w="0" w:type="auto"/>
        <w:tblInd w:w="1680" w:type="dxa"/>
        <w:tblLook w:val="04A0" w:firstRow="1" w:lastRow="0" w:firstColumn="1" w:lastColumn="0" w:noHBand="0" w:noVBand="1"/>
      </w:tblPr>
      <w:tblGrid>
        <w:gridCol w:w="6842"/>
      </w:tblGrid>
      <w:tr w:rsidR="00A762DE" w14:paraId="6D89228F" w14:textId="77777777" w:rsidTr="009A2323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25E7D46E" w14:textId="7690A1D6" w:rsidR="005D519E" w:rsidRPr="00FE330C" w:rsidRDefault="005D519E" w:rsidP="00FE330C">
            <w:pPr>
              <w:pStyle w:val="a3"/>
              <w:numPr>
                <w:ilvl w:val="0"/>
                <w:numId w:val="28"/>
              </w:numPr>
              <w:spacing w:line="276" w:lineRule="auto"/>
              <w:ind w:leftChars="0"/>
              <w:jc w:val="both"/>
              <w:rPr>
                <w:rFonts w:eastAsiaTheme="minorEastAsia"/>
                <w:color w:val="000000"/>
              </w:rPr>
            </w:pPr>
            <w:r>
              <w:rPr>
                <w:rFonts w:hint="eastAsia"/>
              </w:rPr>
              <w:t>虛擬案例：</w:t>
            </w:r>
            <w:r w:rsidR="00CE33D2">
              <w:rPr>
                <w:rFonts w:hint="eastAsia"/>
              </w:rPr>
              <w:t>某群人</w:t>
            </w:r>
            <w:r w:rsidR="00FE330C">
              <w:rPr>
                <w:rFonts w:hint="eastAsia"/>
              </w:rPr>
              <w:t>進行</w:t>
            </w:r>
            <w:r w:rsidR="00CE33D2">
              <w:rPr>
                <w:rFonts w:hint="eastAsia"/>
              </w:rPr>
              <w:t>集會遊行</w:t>
            </w:r>
            <w:r w:rsidR="00FE330C">
              <w:rPr>
                <w:rFonts w:hint="eastAsia"/>
              </w:rPr>
              <w:t>，其</w:t>
            </w:r>
            <w:r w:rsidR="00CE33D2">
              <w:rPr>
                <w:rFonts w:hint="eastAsia"/>
              </w:rPr>
              <w:t>主張為</w:t>
            </w:r>
            <w:r w:rsidR="002169DE">
              <w:rPr>
                <w:rFonts w:hint="eastAsia"/>
              </w:rPr>
              <w:t>「</w:t>
            </w:r>
            <w:r w:rsidR="00FE330C">
              <w:rPr>
                <w:rFonts w:hint="eastAsia"/>
              </w:rPr>
              <w:t>小琉球應該併入菲律賓</w:t>
            </w:r>
            <w:r w:rsidR="002169DE">
              <w:rPr>
                <w:rFonts w:hint="eastAsia"/>
              </w:rPr>
              <w:t>」</w:t>
            </w:r>
            <w:r w:rsidR="00FE330C">
              <w:rPr>
                <w:rFonts w:hint="eastAsia"/>
              </w:rPr>
              <w:t>。請問</w:t>
            </w:r>
            <w:r w:rsidR="00CE33D2">
              <w:rPr>
                <w:rFonts w:hint="eastAsia"/>
              </w:rPr>
              <w:t>警方是否可以其主張</w:t>
            </w:r>
            <w:r w:rsidR="00FE330C">
              <w:rPr>
                <w:rFonts w:hint="eastAsia"/>
              </w:rPr>
              <w:t>分裂國土為由，禁止人民集會遊行</w:t>
            </w:r>
            <w:r>
              <w:rPr>
                <w:rFonts w:hint="eastAsia"/>
              </w:rPr>
              <w:t>？</w:t>
            </w:r>
          </w:p>
          <w:p w14:paraId="08B35AD0" w14:textId="0E685D61" w:rsidR="005D519E" w:rsidRPr="00D67179" w:rsidRDefault="00CE33D2" w:rsidP="00D67179">
            <w:pPr>
              <w:pStyle w:val="a3"/>
              <w:numPr>
                <w:ilvl w:val="0"/>
                <w:numId w:val="31"/>
              </w:numPr>
              <w:spacing w:line="276" w:lineRule="auto"/>
              <w:ind w:leftChars="0"/>
              <w:jc w:val="both"/>
            </w:pPr>
            <w:r w:rsidRPr="00D67179">
              <w:rPr>
                <w:rFonts w:hint="eastAsia"/>
              </w:rPr>
              <w:t>審查態度：</w:t>
            </w:r>
            <w:r w:rsidR="005D519E" w:rsidRPr="00D67179">
              <w:rPr>
                <w:rFonts w:hint="eastAsia"/>
              </w:rPr>
              <w:t>涉及</w:t>
            </w:r>
            <w:r w:rsidR="00FE330C">
              <w:rPr>
                <w:rFonts w:hint="eastAsia"/>
              </w:rPr>
              <w:t>事前管制與</w:t>
            </w:r>
            <w:r w:rsidR="005D519E" w:rsidRPr="00D67179">
              <w:rPr>
                <w:rFonts w:hint="eastAsia"/>
              </w:rPr>
              <w:t>言論內容</w:t>
            </w:r>
            <w:r w:rsidR="00FE330C">
              <w:rPr>
                <w:rFonts w:hint="eastAsia"/>
              </w:rPr>
              <w:t>之審查，必須採取嚴格審查</w:t>
            </w:r>
            <w:r w:rsidR="005D519E" w:rsidRPr="00D67179">
              <w:rPr>
                <w:rFonts w:hint="eastAsia"/>
              </w:rPr>
              <w:t>標準。</w:t>
            </w:r>
          </w:p>
          <w:p w14:paraId="6225EE2B" w14:textId="77777777" w:rsidR="00D67179" w:rsidRPr="00D67179" w:rsidRDefault="00D67179" w:rsidP="00D67179">
            <w:pPr>
              <w:pStyle w:val="a3"/>
              <w:numPr>
                <w:ilvl w:val="0"/>
                <w:numId w:val="31"/>
              </w:numPr>
              <w:spacing w:line="276" w:lineRule="auto"/>
              <w:ind w:leftChars="0"/>
              <w:jc w:val="both"/>
            </w:pPr>
            <w:r w:rsidRPr="00D67179">
              <w:rPr>
                <w:rFonts w:hint="eastAsia"/>
              </w:rPr>
              <w:t>司法實務：釋字第</w:t>
            </w:r>
            <w:r w:rsidRPr="00D67179">
              <w:rPr>
                <w:rFonts w:hint="eastAsia"/>
              </w:rPr>
              <w:t>445</w:t>
            </w:r>
            <w:r w:rsidRPr="00D67179">
              <w:rPr>
                <w:rFonts w:hint="eastAsia"/>
              </w:rPr>
              <w:t>號</w:t>
            </w:r>
          </w:p>
          <w:p w14:paraId="31006FB0" w14:textId="40A409DF" w:rsidR="00D67179" w:rsidRDefault="00D67179" w:rsidP="00D67179">
            <w:pPr>
              <w:pStyle w:val="a3"/>
              <w:spacing w:line="276" w:lineRule="auto"/>
              <w:ind w:leftChars="0" w:left="720"/>
              <w:jc w:val="both"/>
              <w:rPr>
                <w:color w:val="FF0000"/>
              </w:rPr>
            </w:pPr>
            <w:r w:rsidRPr="00D67179">
              <w:rPr>
                <w:rFonts w:hint="eastAsia"/>
              </w:rPr>
              <w:t>「</w:t>
            </w:r>
            <w:r>
              <w:rPr>
                <w:color w:val="000000"/>
              </w:rPr>
              <w:t>集會遊行法第十一條第一款規定違反同法第四條規定者，為不予許可之要件，乃對</w:t>
            </w:r>
            <w:r>
              <w:rPr>
                <w:rFonts w:ascii="新細明體" w:hAnsi="新細明體" w:hint="eastAsia"/>
                <w:color w:val="000000"/>
              </w:rPr>
              <w:t>『</w:t>
            </w:r>
            <w:r>
              <w:rPr>
                <w:color w:val="000000"/>
              </w:rPr>
              <w:t>主張共產主義或分裂國土</w:t>
            </w:r>
            <w:r>
              <w:rPr>
                <w:rFonts w:ascii="新細明體" w:hAnsi="新細明體" w:hint="eastAsia"/>
                <w:color w:val="000000"/>
              </w:rPr>
              <w:t>』</w:t>
            </w:r>
            <w:r>
              <w:rPr>
                <w:color w:val="000000"/>
              </w:rPr>
              <w:t>之言論，使主管機關於許可集會、遊行以前，得就人民政治上之言論而為審查，與憲法保障表現自由之意旨有違；同條第二款規定：</w:t>
            </w:r>
            <w:r>
              <w:rPr>
                <w:rFonts w:ascii="新細明體" w:hAnsi="新細明體" w:hint="eastAsia"/>
                <w:color w:val="000000"/>
              </w:rPr>
              <w:t>『</w:t>
            </w:r>
            <w:r>
              <w:rPr>
                <w:color w:val="000000"/>
              </w:rPr>
              <w:t>有事實足認為有危害國家安全、社會秩序或公共利益之虞者</w:t>
            </w:r>
            <w:r>
              <w:rPr>
                <w:rFonts w:ascii="新細明體" w:hAnsi="新細明體" w:hint="eastAsia"/>
                <w:color w:val="000000"/>
              </w:rPr>
              <w:t>』</w:t>
            </w:r>
            <w:r>
              <w:rPr>
                <w:color w:val="000000"/>
              </w:rPr>
              <w:t>，第三款規定：</w:t>
            </w:r>
            <w:r>
              <w:rPr>
                <w:rFonts w:ascii="新細明體" w:hAnsi="新細明體" w:hint="eastAsia"/>
                <w:color w:val="000000"/>
              </w:rPr>
              <w:t>『</w:t>
            </w:r>
            <w:r>
              <w:rPr>
                <w:color w:val="000000"/>
              </w:rPr>
              <w:t>有危害生命、身體、自由或對財物造成重大損壞之虞者</w:t>
            </w:r>
            <w:r>
              <w:rPr>
                <w:rFonts w:ascii="新細明體" w:hAnsi="新細明體" w:hint="eastAsia"/>
                <w:color w:val="000000"/>
              </w:rPr>
              <w:t>』</w:t>
            </w:r>
            <w:r>
              <w:rPr>
                <w:color w:val="000000"/>
              </w:rPr>
              <w:t>，有欠具體明確，對於在舉行集會、遊行以前，尚無明顯而立即危險之事實狀態，僅憑將來有發生之可能，即由主管機關以此作為集會、遊行准否之依據部分，與憲法保障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集會自由之意旨不符，均應自本解釋公布之日起失其效力。</w:t>
            </w:r>
            <w:r>
              <w:rPr>
                <w:rFonts w:hint="eastAsia"/>
              </w:rPr>
              <w:t>」</w:t>
            </w:r>
            <w:r w:rsidR="009A2323">
              <w:rPr>
                <w:rFonts w:ascii="標楷體" w:eastAsia="標楷體" w:hAnsi="標楷體"/>
              </w:rPr>
              <w:drawing>
                <wp:inline distT="0" distB="0" distL="0" distR="0" wp14:anchorId="701B78EA" wp14:editId="68FA9F18">
                  <wp:extent cx="222636" cy="195005"/>
                  <wp:effectExtent l="0" t="0" r="6350" b="0"/>
                  <wp:docPr id="4" name="圖片 4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02C696" w14:textId="01932500" w:rsidR="005D519E" w:rsidRPr="00D67179" w:rsidRDefault="00D67179" w:rsidP="00D67179">
            <w:pPr>
              <w:pStyle w:val="a3"/>
              <w:spacing w:line="276" w:lineRule="auto"/>
              <w:ind w:leftChars="0" w:left="720"/>
              <w:jc w:val="both"/>
            </w:pPr>
            <w:r>
              <w:rPr>
                <w:rFonts w:hint="eastAsia"/>
              </w:rPr>
              <w:t>→如果只有分裂國土的主張，但並沒有立即而明顯的危險的行動，人民集會遊行的權利都應該保障。</w:t>
            </w:r>
          </w:p>
        </w:tc>
      </w:tr>
    </w:tbl>
    <w:p w14:paraId="14FA0469" w14:textId="77777777" w:rsidR="006343AA" w:rsidRDefault="00A762DE" w:rsidP="004E5A67">
      <w:pPr>
        <w:pStyle w:val="a3"/>
        <w:numPr>
          <w:ilvl w:val="0"/>
          <w:numId w:val="14"/>
        </w:numPr>
        <w:spacing w:line="276" w:lineRule="auto"/>
        <w:ind w:leftChars="0"/>
      </w:pPr>
      <w:r>
        <w:rPr>
          <w:rFonts w:hint="eastAsia"/>
        </w:rPr>
        <w:t>非內容管制</w:t>
      </w:r>
    </w:p>
    <w:p w14:paraId="6A430A60" w14:textId="53141E71" w:rsidR="007C2118" w:rsidRDefault="007C2118" w:rsidP="004E5A67">
      <w:pPr>
        <w:pStyle w:val="a3"/>
        <w:numPr>
          <w:ilvl w:val="0"/>
          <w:numId w:val="15"/>
        </w:numPr>
        <w:spacing w:line="276" w:lineRule="auto"/>
        <w:ind w:leftChars="0"/>
      </w:pPr>
      <w:r w:rsidRPr="003D6B63">
        <w:t>禁制區之設置與其距離限制</w:t>
      </w:r>
    </w:p>
    <w:tbl>
      <w:tblPr>
        <w:tblStyle w:val="ab"/>
        <w:tblW w:w="0" w:type="auto"/>
        <w:tblInd w:w="2040" w:type="dxa"/>
        <w:tblLook w:val="04A0" w:firstRow="1" w:lastRow="0" w:firstColumn="1" w:lastColumn="0" w:noHBand="0" w:noVBand="1"/>
      </w:tblPr>
      <w:tblGrid>
        <w:gridCol w:w="6482"/>
      </w:tblGrid>
      <w:tr w:rsidR="006343AA" w:rsidRPr="003F29E1" w14:paraId="16794BB1" w14:textId="77777777" w:rsidTr="009A2323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502C606A" w14:textId="31DA1F88" w:rsidR="003F29E1" w:rsidRPr="00415574" w:rsidRDefault="00CE33D2" w:rsidP="00415574">
            <w:pPr>
              <w:pStyle w:val="HTML"/>
              <w:numPr>
                <w:ilvl w:val="0"/>
                <w:numId w:val="24"/>
              </w:numPr>
              <w:jc w:val="both"/>
              <w:rPr>
                <w:rFonts w:ascii="Times New Roman" w:eastAsiaTheme="majorEastAsia" w:hAnsi="Times New Roman" w:cs="Times New Roman"/>
              </w:rPr>
            </w:pPr>
            <w:r w:rsidRPr="00415574">
              <w:rPr>
                <w:rFonts w:ascii="Times New Roman" w:eastAsiaTheme="majorEastAsia" w:hAnsi="Times New Roman" w:cs="Times New Roman" w:hint="eastAsia"/>
              </w:rPr>
              <w:t>法源依據：</w:t>
            </w:r>
            <w:r w:rsidR="009A2323">
              <w:rPr>
                <w:rFonts w:ascii="Times New Roman" w:eastAsiaTheme="majorEastAsia" w:hAnsi="Times New Roman" w:cs="Times New Roman" w:hint="eastAsia"/>
              </w:rPr>
              <w:t>《</w:t>
            </w:r>
            <w:r w:rsidR="003F29E1" w:rsidRPr="003F29E1">
              <w:rPr>
                <w:rFonts w:ascii="Times New Roman" w:eastAsiaTheme="majorEastAsia" w:hAnsi="Times New Roman" w:cs="Times New Roman"/>
              </w:rPr>
              <w:t>集會遊行法</w:t>
            </w:r>
            <w:r w:rsidR="009A2323">
              <w:rPr>
                <w:rFonts w:ascii="Times New Roman" w:eastAsiaTheme="majorEastAsia" w:hAnsi="Times New Roman" w:cs="Times New Roman" w:hint="eastAsia"/>
              </w:rPr>
              <w:t>》</w:t>
            </w:r>
            <w:r w:rsidR="003F29E1" w:rsidRPr="003F29E1">
              <w:rPr>
                <w:rFonts w:ascii="Times New Roman" w:eastAsiaTheme="majorEastAsia" w:hAnsi="Times New Roman" w:cs="Times New Roman"/>
              </w:rPr>
              <w:t>第</w:t>
            </w:r>
            <w:r w:rsidR="003F29E1" w:rsidRPr="003F29E1">
              <w:rPr>
                <w:rFonts w:ascii="Times New Roman" w:eastAsiaTheme="majorEastAsia" w:hAnsi="Times New Roman" w:cs="Times New Roman"/>
              </w:rPr>
              <w:t>6</w:t>
            </w:r>
            <w:r w:rsidR="003F29E1" w:rsidRPr="003F29E1">
              <w:rPr>
                <w:rFonts w:ascii="Times New Roman" w:eastAsiaTheme="majorEastAsia" w:hAnsi="Times New Roman" w:cs="Times New Roman"/>
              </w:rPr>
              <w:t>條第</w:t>
            </w:r>
            <w:r w:rsidR="003F29E1" w:rsidRPr="003F29E1">
              <w:rPr>
                <w:rFonts w:ascii="Times New Roman" w:eastAsiaTheme="majorEastAsia" w:hAnsi="Times New Roman" w:cs="Times New Roman"/>
              </w:rPr>
              <w:t>1</w:t>
            </w:r>
            <w:r w:rsidR="003F29E1" w:rsidRPr="003F29E1">
              <w:rPr>
                <w:rFonts w:ascii="Times New Roman" w:eastAsiaTheme="majorEastAsia" w:hAnsi="Times New Roman" w:cs="Times New Roman"/>
              </w:rPr>
              <w:t>項：「集會、遊</w:t>
            </w:r>
            <w:r w:rsidR="003F29E1" w:rsidRPr="003F29E1">
              <w:rPr>
                <w:rFonts w:ascii="Times New Roman" w:eastAsiaTheme="majorEastAsia" w:hAnsi="Times New Roman" w:cs="Times New Roman"/>
              </w:rPr>
              <w:lastRenderedPageBreak/>
              <w:t>行不得在左列地區及其</w:t>
            </w:r>
            <w:proofErr w:type="gramStart"/>
            <w:r w:rsidR="003F29E1" w:rsidRPr="003F29E1">
              <w:rPr>
                <w:rFonts w:ascii="Times New Roman" w:eastAsiaTheme="majorEastAsia" w:hAnsi="Times New Roman" w:cs="Times New Roman"/>
              </w:rPr>
              <w:t>週</w:t>
            </w:r>
            <w:proofErr w:type="gramEnd"/>
            <w:r w:rsidR="003F29E1" w:rsidRPr="003F29E1">
              <w:rPr>
                <w:rFonts w:ascii="Times New Roman" w:eastAsiaTheme="majorEastAsia" w:hAnsi="Times New Roman" w:cs="Times New Roman"/>
              </w:rPr>
              <w:t>邊範圍舉行。但經主管機關核准者，不在此限：</w:t>
            </w:r>
            <w:r w:rsidR="00415574" w:rsidRPr="003F29E1">
              <w:rPr>
                <w:rFonts w:eastAsiaTheme="majorEastAsia"/>
              </w:rPr>
              <w:t>一、總統府、行政院、司法院、考試院、各級法院及總統、副總統官邸。二、國際機場、港口。三、重要軍事設施地區。</w:t>
            </w:r>
            <w:r w:rsidR="00415574" w:rsidRPr="003F29E1">
              <w:rPr>
                <w:rFonts w:ascii="Times New Roman" w:eastAsiaTheme="majorEastAsia" w:hAnsi="Times New Roman" w:cs="Times New Roman"/>
              </w:rPr>
              <w:t>四、各國駐華使領館、代表機構、國際組織駐華機構及其館長官邸。」</w:t>
            </w:r>
            <w:r w:rsidR="009A2323">
              <w:rPr>
                <w:rFonts w:ascii="標楷體" w:eastAsia="標楷體" w:hAnsi="標楷體"/>
                <w:noProof/>
              </w:rPr>
              <w:drawing>
                <wp:inline distT="0" distB="0" distL="0" distR="0" wp14:anchorId="3608C35B" wp14:editId="093B5207">
                  <wp:extent cx="222636" cy="195005"/>
                  <wp:effectExtent l="0" t="0" r="6350" b="0"/>
                  <wp:docPr id="7" name="圖片 7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4564DA" w14:textId="3A1A2EA2" w:rsidR="003F29E1" w:rsidRDefault="003F29E1" w:rsidP="004E5A67">
            <w:pPr>
              <w:pStyle w:val="a3"/>
              <w:numPr>
                <w:ilvl w:val="0"/>
                <w:numId w:val="24"/>
              </w:numPr>
              <w:spacing w:line="276" w:lineRule="auto"/>
              <w:ind w:leftChars="0"/>
              <w:jc w:val="both"/>
              <w:rPr>
                <w:rFonts w:eastAsiaTheme="majorEastAsia"/>
              </w:rPr>
            </w:pPr>
            <w:r w:rsidRPr="003F29E1">
              <w:rPr>
                <w:rFonts w:eastAsiaTheme="majorEastAsia"/>
              </w:rPr>
              <w:t>禁制區</w:t>
            </w:r>
            <w:r w:rsidR="00415574">
              <w:rPr>
                <w:rFonts w:eastAsiaTheme="majorEastAsia" w:hint="eastAsia"/>
              </w:rPr>
              <w:t>的規定是否有問題</w:t>
            </w:r>
            <w:r>
              <w:rPr>
                <w:rFonts w:eastAsiaTheme="majorEastAsia" w:hint="eastAsia"/>
              </w:rPr>
              <w:t>？</w:t>
            </w:r>
          </w:p>
          <w:p w14:paraId="1B738B7D" w14:textId="2A705CF7" w:rsidR="003F29E1" w:rsidRPr="00FE330C" w:rsidRDefault="00AB1036" w:rsidP="00415574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eastAsiaTheme="majorEastAsia"/>
                <w:color w:val="FF0000"/>
              </w:rPr>
            </w:pPr>
            <w:r w:rsidRPr="00AB1036">
              <w:rPr>
                <w:rFonts w:eastAsiaTheme="majorEastAsia" w:hint="eastAsia"/>
              </w:rPr>
              <w:t>關鍵點</w:t>
            </w:r>
            <w:r w:rsidR="00F26DE4" w:rsidRPr="00AB1036">
              <w:rPr>
                <w:rFonts w:eastAsiaTheme="majorEastAsia" w:hint="eastAsia"/>
              </w:rPr>
              <w:t>：</w:t>
            </w:r>
            <w:r w:rsidR="00FE330C">
              <w:rPr>
                <w:rFonts w:eastAsiaTheme="majorEastAsia" w:hint="eastAsia"/>
              </w:rPr>
              <w:t>「</w:t>
            </w:r>
            <w:r w:rsidR="003F29E1" w:rsidRPr="00AB1036">
              <w:rPr>
                <w:rFonts w:eastAsiaTheme="majorEastAsia" w:hint="eastAsia"/>
              </w:rPr>
              <w:t>物</w:t>
            </w:r>
            <w:r w:rsidR="003F29E1">
              <w:rPr>
                <w:rFonts w:eastAsiaTheme="majorEastAsia" w:hint="eastAsia"/>
              </w:rPr>
              <w:t>理上</w:t>
            </w:r>
            <w:r w:rsidR="004308B7">
              <w:rPr>
                <w:rFonts w:eastAsiaTheme="majorEastAsia"/>
              </w:rPr>
              <w:t>接近</w:t>
            </w:r>
            <w:r w:rsidR="00F26DE4">
              <w:rPr>
                <w:rFonts w:eastAsiaTheme="majorEastAsia" w:hint="eastAsia"/>
              </w:rPr>
              <w:t>被抗議者</w:t>
            </w:r>
            <w:r w:rsidR="00FE330C">
              <w:rPr>
                <w:rFonts w:eastAsiaTheme="majorEastAsia" w:hint="eastAsia"/>
              </w:rPr>
              <w:t>，強迫被抗議者聽到及看到抗議者之意見與行為」</w:t>
            </w:r>
            <w:r w:rsidR="00F26DE4">
              <w:rPr>
                <w:rFonts w:eastAsiaTheme="majorEastAsia" w:hint="eastAsia"/>
              </w:rPr>
              <w:t>是否</w:t>
            </w:r>
            <w:r w:rsidR="00FE330C">
              <w:rPr>
                <w:rFonts w:eastAsiaTheme="majorEastAsia" w:hint="eastAsia"/>
              </w:rPr>
              <w:t>是憲法上所保障之集會權的核心</w:t>
            </w:r>
            <w:r w:rsidR="00F26DE4">
              <w:rPr>
                <w:rFonts w:eastAsiaTheme="majorEastAsia" w:hint="eastAsia"/>
              </w:rPr>
              <w:t>要</w:t>
            </w:r>
            <w:r w:rsidR="00FE330C">
              <w:rPr>
                <w:rFonts w:eastAsiaTheme="majorEastAsia" w:hint="eastAsia"/>
              </w:rPr>
              <w:t>素</w:t>
            </w:r>
            <w:r w:rsidR="00F26DE4">
              <w:rPr>
                <w:rFonts w:eastAsiaTheme="majorEastAsia" w:hint="eastAsia"/>
              </w:rPr>
              <w:t>？</w:t>
            </w:r>
          </w:p>
          <w:p w14:paraId="33AB3A96" w14:textId="6F411446" w:rsidR="00FE330C" w:rsidRDefault="00FE330C" w:rsidP="00415574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eastAsiaTheme="majorEastAsia"/>
                <w:color w:val="FF0000"/>
              </w:rPr>
            </w:pPr>
            <w:r>
              <w:rPr>
                <w:rFonts w:eastAsiaTheme="majorEastAsia" w:hint="eastAsia"/>
              </w:rPr>
              <w:t>可否以被抗議者之身份作為區分標準？如民選官員與行政官僚，因為是公僕，故有聽取人民（主人）抗議之義務？</w:t>
            </w:r>
          </w:p>
          <w:p w14:paraId="63EF5442" w14:textId="12925450" w:rsidR="004308B7" w:rsidRPr="00415574" w:rsidRDefault="00FE330C" w:rsidP="00415574">
            <w:pPr>
              <w:pStyle w:val="a3"/>
              <w:numPr>
                <w:ilvl w:val="0"/>
                <w:numId w:val="32"/>
              </w:numPr>
              <w:spacing w:line="276" w:lineRule="auto"/>
              <w:ind w:leftChars="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禁制區的檢討：</w:t>
            </w:r>
          </w:p>
          <w:p w14:paraId="29A4E7B9" w14:textId="250DFA42" w:rsidR="00C51EFE" w:rsidRPr="008663E9" w:rsidRDefault="00F05DF8" w:rsidP="008663E9">
            <w:pPr>
              <w:pStyle w:val="a3"/>
              <w:numPr>
                <w:ilvl w:val="0"/>
                <w:numId w:val="33"/>
              </w:numPr>
              <w:spacing w:line="276" w:lineRule="auto"/>
              <w:ind w:leftChars="0"/>
              <w:jc w:val="both"/>
              <w:rPr>
                <w:rFonts w:eastAsiaTheme="majorEastAsia"/>
              </w:rPr>
            </w:pPr>
            <w:r w:rsidRPr="008663E9">
              <w:rPr>
                <w:rFonts w:eastAsiaTheme="majorEastAsia"/>
              </w:rPr>
              <w:t>法院</w:t>
            </w:r>
            <w:r w:rsidRPr="008663E9">
              <w:rPr>
                <w:rFonts w:eastAsiaTheme="majorEastAsia" w:hint="eastAsia"/>
              </w:rPr>
              <w:t>：</w:t>
            </w:r>
            <w:r w:rsidR="00C51EFE" w:rsidRPr="008663E9">
              <w:rPr>
                <w:rFonts w:eastAsiaTheme="majorEastAsia"/>
              </w:rPr>
              <w:t>憲法</w:t>
            </w:r>
            <w:r w:rsidR="006D67D8" w:rsidRPr="008663E9">
              <w:rPr>
                <w:rFonts w:eastAsiaTheme="majorEastAsia" w:hint="eastAsia"/>
              </w:rPr>
              <w:t>第</w:t>
            </w:r>
            <w:r w:rsidR="00C51EFE" w:rsidRPr="008663E9">
              <w:rPr>
                <w:rFonts w:eastAsiaTheme="majorEastAsia"/>
              </w:rPr>
              <w:t>80</w:t>
            </w:r>
            <w:r w:rsidR="00C51EFE" w:rsidRPr="008663E9">
              <w:rPr>
                <w:rFonts w:eastAsiaTheme="majorEastAsia"/>
              </w:rPr>
              <w:t>條</w:t>
            </w:r>
            <w:r w:rsidR="00B96768">
              <w:rPr>
                <w:rFonts w:eastAsiaTheme="majorEastAsia" w:hint="eastAsia"/>
              </w:rPr>
              <w:t>規定</w:t>
            </w:r>
            <w:r w:rsidR="00C51EFE" w:rsidRPr="008663E9">
              <w:rPr>
                <w:rFonts w:eastAsiaTheme="majorEastAsia"/>
              </w:rPr>
              <w:t>法官獨立審判，</w:t>
            </w:r>
            <w:r w:rsidR="00E52F90" w:rsidRPr="008663E9">
              <w:rPr>
                <w:rFonts w:eastAsiaTheme="majorEastAsia" w:hint="eastAsia"/>
              </w:rPr>
              <w:t>其中的獨立</w:t>
            </w:r>
            <w:r w:rsidR="006D67D8" w:rsidRPr="008663E9">
              <w:rPr>
                <w:rFonts w:eastAsiaTheme="majorEastAsia" w:hint="eastAsia"/>
              </w:rPr>
              <w:t>是</w:t>
            </w:r>
            <w:r w:rsidR="00B96768">
              <w:rPr>
                <w:rFonts w:eastAsiaTheme="majorEastAsia" w:hint="eastAsia"/>
              </w:rPr>
              <w:t>否應包括</w:t>
            </w:r>
            <w:r w:rsidR="00B96768">
              <w:rPr>
                <w:rFonts w:eastAsiaTheme="majorEastAsia"/>
              </w:rPr>
              <w:t>獨立於</w:t>
            </w:r>
            <w:r w:rsidR="00B96768">
              <w:rPr>
                <w:rFonts w:eastAsiaTheme="majorEastAsia" w:hint="eastAsia"/>
              </w:rPr>
              <w:t>民意之外</w:t>
            </w:r>
            <w:r w:rsidR="00C51EFE" w:rsidRPr="008663E9">
              <w:rPr>
                <w:rFonts w:eastAsiaTheme="majorEastAsia"/>
              </w:rPr>
              <w:t>？</w:t>
            </w:r>
            <w:r w:rsidR="006920A7" w:rsidRPr="008663E9">
              <w:rPr>
                <w:rFonts w:eastAsiaTheme="majorEastAsia"/>
              </w:rPr>
              <w:t xml:space="preserve"> </w:t>
            </w:r>
          </w:p>
          <w:p w14:paraId="12DF9E21" w14:textId="7232DAE5" w:rsidR="008663E9" w:rsidRDefault="008663E9" w:rsidP="008663E9">
            <w:pPr>
              <w:pStyle w:val="a3"/>
              <w:numPr>
                <w:ilvl w:val="0"/>
                <w:numId w:val="33"/>
              </w:numPr>
              <w:spacing w:line="276" w:lineRule="auto"/>
              <w:ind w:leftChars="0"/>
              <w:jc w:val="both"/>
              <w:rPr>
                <w:rFonts w:eastAsiaTheme="majorEastAsia"/>
              </w:rPr>
            </w:pPr>
            <w:r>
              <w:rPr>
                <w:rFonts w:eastAsiaTheme="majorEastAsia"/>
              </w:rPr>
              <w:t>總統府</w:t>
            </w:r>
            <w:r>
              <w:rPr>
                <w:rFonts w:eastAsiaTheme="majorEastAsia" w:hint="eastAsia"/>
              </w:rPr>
              <w:t>：</w:t>
            </w:r>
            <w:r w:rsidR="00B96768">
              <w:rPr>
                <w:rFonts w:eastAsiaTheme="majorEastAsia" w:hint="eastAsia"/>
              </w:rPr>
              <w:t>依我國憲政體制，總統享有多少決策實權？決定了其聽取抗議者之義務強度？又</w:t>
            </w:r>
            <w:r w:rsidRPr="003F29E1">
              <w:rPr>
                <w:rFonts w:eastAsiaTheme="majorEastAsia"/>
              </w:rPr>
              <w:t>從民主的角度來看，</w:t>
            </w:r>
            <w:r w:rsidR="00B96768">
              <w:rPr>
                <w:rFonts w:eastAsiaTheme="majorEastAsia" w:hint="eastAsia"/>
              </w:rPr>
              <w:t>是否不論是十人的集會，百人的集會，十萬人的集會，還是百萬人的集會，總統都有聽取其意見知義務</w:t>
            </w:r>
            <w:r>
              <w:rPr>
                <w:rFonts w:eastAsiaTheme="majorEastAsia" w:hint="eastAsia"/>
              </w:rPr>
              <w:t>？</w:t>
            </w:r>
          </w:p>
          <w:p w14:paraId="4B329A7C" w14:textId="49F23D85" w:rsidR="008663E9" w:rsidRDefault="008663E9" w:rsidP="008663E9">
            <w:pPr>
              <w:pStyle w:val="a3"/>
              <w:numPr>
                <w:ilvl w:val="0"/>
                <w:numId w:val="33"/>
              </w:numPr>
              <w:spacing w:line="276" w:lineRule="auto"/>
              <w:ind w:leftChars="0"/>
              <w:jc w:val="both"/>
              <w:rPr>
                <w:rFonts w:eastAsiaTheme="majorEastAsia"/>
              </w:rPr>
            </w:pPr>
            <w:r>
              <w:rPr>
                <w:rFonts w:eastAsiaTheme="majorEastAsia"/>
              </w:rPr>
              <w:t>總統和副總統官邸</w:t>
            </w:r>
            <w:r>
              <w:rPr>
                <w:rFonts w:eastAsiaTheme="majorEastAsia" w:hint="eastAsia"/>
              </w:rPr>
              <w:t>：若從前述的判別標準來看，</w:t>
            </w:r>
            <w:r>
              <w:rPr>
                <w:rFonts w:eastAsiaTheme="majorEastAsia"/>
              </w:rPr>
              <w:t>官邸</w:t>
            </w:r>
            <w:r w:rsidR="00B96768">
              <w:rPr>
                <w:rFonts w:eastAsiaTheme="majorEastAsia" w:hint="eastAsia"/>
              </w:rPr>
              <w:t>裡住的其他成員未必是公僕，</w:t>
            </w:r>
            <w:r>
              <w:rPr>
                <w:rFonts w:eastAsiaTheme="majorEastAsia" w:hint="eastAsia"/>
              </w:rPr>
              <w:t>所以</w:t>
            </w:r>
            <w:r w:rsidR="00B96768">
              <w:rPr>
                <w:rFonts w:eastAsiaTheme="majorEastAsia" w:hint="eastAsia"/>
              </w:rPr>
              <w:t>是否應</w:t>
            </w:r>
            <w:r>
              <w:rPr>
                <w:rFonts w:eastAsiaTheme="majorEastAsia" w:hint="eastAsia"/>
              </w:rPr>
              <w:t>排除</w:t>
            </w:r>
            <w:r w:rsidR="00B96768">
              <w:rPr>
                <w:rFonts w:eastAsiaTheme="majorEastAsia" w:hint="eastAsia"/>
              </w:rPr>
              <w:t>其聽取抗議者之義務？</w:t>
            </w:r>
          </w:p>
          <w:p w14:paraId="7FD75D6A" w14:textId="4CF50BCC" w:rsidR="008663E9" w:rsidRDefault="008663E9" w:rsidP="008663E9">
            <w:pPr>
              <w:pStyle w:val="a3"/>
              <w:numPr>
                <w:ilvl w:val="0"/>
                <w:numId w:val="33"/>
              </w:numPr>
              <w:spacing w:line="276" w:lineRule="auto"/>
              <w:ind w:leftChars="0"/>
              <w:jc w:val="both"/>
              <w:rPr>
                <w:rFonts w:eastAsiaTheme="majorEastAsia"/>
              </w:rPr>
            </w:pPr>
            <w:r w:rsidRPr="003F29E1">
              <w:rPr>
                <w:rFonts w:eastAsiaTheme="majorEastAsia"/>
              </w:rPr>
              <w:t>行政院</w:t>
            </w:r>
            <w:r>
              <w:rPr>
                <w:rFonts w:eastAsiaTheme="majorEastAsia" w:hint="eastAsia"/>
              </w:rPr>
              <w:t>：</w:t>
            </w:r>
            <w:r w:rsidRPr="003F29E1">
              <w:rPr>
                <w:rFonts w:eastAsiaTheme="majorEastAsia"/>
              </w:rPr>
              <w:t>行政院</w:t>
            </w:r>
            <w:r>
              <w:rPr>
                <w:rFonts w:eastAsiaTheme="majorEastAsia" w:hint="eastAsia"/>
              </w:rPr>
              <w:t>雖然是</w:t>
            </w:r>
            <w:r w:rsidR="002E4013">
              <w:rPr>
                <w:rFonts w:eastAsiaTheme="majorEastAsia" w:hint="eastAsia"/>
              </w:rPr>
              <w:t>行政權座落之處</w:t>
            </w:r>
            <w:r>
              <w:rPr>
                <w:rFonts w:eastAsiaTheme="majorEastAsia" w:hint="eastAsia"/>
              </w:rPr>
              <w:t>(</w:t>
            </w:r>
            <w:r w:rsidR="002E4013">
              <w:rPr>
                <w:rFonts w:eastAsiaTheme="majorEastAsia" w:hint="eastAsia"/>
              </w:rPr>
              <w:t>中央</w:t>
            </w:r>
            <w:r>
              <w:rPr>
                <w:rFonts w:eastAsiaTheme="majorEastAsia"/>
              </w:rPr>
              <w:t>行政</w:t>
            </w:r>
            <w:r w:rsidR="002E4013">
              <w:rPr>
                <w:rFonts w:eastAsiaTheme="majorEastAsia" w:hint="eastAsia"/>
              </w:rPr>
              <w:t>權</w:t>
            </w:r>
            <w:r>
              <w:rPr>
                <w:rFonts w:eastAsiaTheme="majorEastAsia"/>
              </w:rPr>
              <w:t>的中心</w:t>
            </w:r>
            <w:r>
              <w:rPr>
                <w:rFonts w:eastAsiaTheme="majorEastAsia" w:hint="eastAsia"/>
              </w:rPr>
              <w:t>)</w:t>
            </w:r>
            <w:r w:rsidRPr="003F29E1">
              <w:rPr>
                <w:rFonts w:eastAsiaTheme="majorEastAsia"/>
              </w:rPr>
              <w:t>，</w:t>
            </w:r>
            <w:r>
              <w:rPr>
                <w:rFonts w:eastAsiaTheme="majorEastAsia" w:hint="eastAsia"/>
              </w:rPr>
              <w:t>但各部會才是真正運作職權的機關</w:t>
            </w:r>
            <w:r w:rsidRPr="003F29E1">
              <w:rPr>
                <w:rFonts w:eastAsiaTheme="majorEastAsia"/>
              </w:rPr>
              <w:t>。</w:t>
            </w:r>
            <w:r w:rsidR="002E4013">
              <w:rPr>
                <w:rFonts w:eastAsiaTheme="majorEastAsia" w:hint="eastAsia"/>
              </w:rPr>
              <w:t>為何不到各部會去？</w:t>
            </w:r>
          </w:p>
          <w:p w14:paraId="2FDF08BD" w14:textId="088027DB" w:rsidR="003F29E1" w:rsidRDefault="008663E9" w:rsidP="008663E9">
            <w:pPr>
              <w:pStyle w:val="a3"/>
              <w:numPr>
                <w:ilvl w:val="0"/>
                <w:numId w:val="33"/>
              </w:numPr>
              <w:spacing w:line="276" w:lineRule="auto"/>
              <w:ind w:leftChars="0"/>
              <w:jc w:val="both"/>
              <w:rPr>
                <w:rFonts w:eastAsiaTheme="majorEastAsia"/>
              </w:rPr>
            </w:pPr>
            <w:r w:rsidRPr="00F2771B">
              <w:rPr>
                <w:rFonts w:eastAsiaTheme="majorEastAsia"/>
              </w:rPr>
              <w:t>機場</w:t>
            </w:r>
            <w:r w:rsidR="002E4013">
              <w:rPr>
                <w:rFonts w:eastAsiaTheme="majorEastAsia" w:hint="eastAsia"/>
              </w:rPr>
              <w:t>港口</w:t>
            </w:r>
            <w:r w:rsidRPr="00F2771B">
              <w:rPr>
                <w:rFonts w:eastAsiaTheme="majorEastAsia" w:hint="eastAsia"/>
              </w:rPr>
              <w:t>：</w:t>
            </w:r>
            <w:r w:rsidR="002E4013">
              <w:rPr>
                <w:rFonts w:eastAsiaTheme="majorEastAsia" w:hint="eastAsia"/>
              </w:rPr>
              <w:t>進出旅客多數非具公僕身份，故不應成為集遊權的實施地？</w:t>
            </w:r>
          </w:p>
          <w:p w14:paraId="3785AA57" w14:textId="589AE9D4" w:rsidR="002E4013" w:rsidRPr="008663E9" w:rsidRDefault="002E4013" w:rsidP="008663E9">
            <w:pPr>
              <w:pStyle w:val="a3"/>
              <w:numPr>
                <w:ilvl w:val="0"/>
                <w:numId w:val="33"/>
              </w:numPr>
              <w:spacing w:line="276" w:lineRule="auto"/>
              <w:ind w:leftChars="0"/>
              <w:jc w:val="both"/>
              <w:rPr>
                <w:rFonts w:eastAsiaTheme="majorEastAsia"/>
              </w:rPr>
            </w:pPr>
            <w:r>
              <w:rPr>
                <w:rFonts w:eastAsiaTheme="majorEastAsia" w:hint="eastAsia"/>
              </w:rPr>
              <w:t>外國使館與國際組織在台機構皆非我國公僕，似亦無必要成為集遊權之實施地</w:t>
            </w:r>
            <w:r w:rsidR="00C32BB1">
              <w:rPr>
                <w:rFonts w:eastAsiaTheme="majorEastAsia" w:hint="eastAsia"/>
              </w:rPr>
              <w:t>？</w:t>
            </w:r>
          </w:p>
          <w:p w14:paraId="77F89501" w14:textId="23892537" w:rsidR="009C04D6" w:rsidRPr="00415574" w:rsidRDefault="006D1D07" w:rsidP="00415574">
            <w:pPr>
              <w:pStyle w:val="HTML"/>
              <w:numPr>
                <w:ilvl w:val="0"/>
                <w:numId w:val="24"/>
              </w:numPr>
              <w:jc w:val="both"/>
              <w:rPr>
                <w:rFonts w:ascii="Times New Roman" w:eastAsiaTheme="majorEastAsia" w:hAnsi="Times New Roman" w:cs="Times New Roman"/>
              </w:rPr>
            </w:pPr>
            <w:r>
              <w:rPr>
                <w:rFonts w:ascii="Times New Roman" w:eastAsiaTheme="majorEastAsia" w:hAnsi="Times New Roman" w:cs="Times New Roman" w:hint="eastAsia"/>
              </w:rPr>
              <w:t>思考：</w:t>
            </w:r>
            <w:r w:rsidR="003F29E1" w:rsidRPr="003F29E1">
              <w:rPr>
                <w:rFonts w:ascii="Times New Roman" w:eastAsiaTheme="majorEastAsia" w:hAnsi="Times New Roman" w:cs="Times New Roman"/>
              </w:rPr>
              <w:t>集會遊行</w:t>
            </w:r>
            <w:r>
              <w:rPr>
                <w:rFonts w:ascii="Times New Roman" w:eastAsiaTheme="majorEastAsia" w:hAnsi="Times New Roman" w:cs="Times New Roman" w:hint="eastAsia"/>
              </w:rPr>
              <w:t>的</w:t>
            </w:r>
            <w:r w:rsidR="002E4013">
              <w:rPr>
                <w:rFonts w:ascii="Times New Roman" w:eastAsiaTheme="majorEastAsia" w:hAnsi="Times New Roman" w:cs="Times New Roman" w:hint="eastAsia"/>
              </w:rPr>
              <w:t>最主要</w:t>
            </w:r>
            <w:r>
              <w:rPr>
                <w:rFonts w:ascii="Times New Roman" w:eastAsiaTheme="majorEastAsia" w:hAnsi="Times New Roman" w:cs="Times New Roman" w:hint="eastAsia"/>
              </w:rPr>
              <w:t>目的</w:t>
            </w:r>
            <w:r w:rsidR="00415574">
              <w:rPr>
                <w:rFonts w:ascii="Times New Roman" w:eastAsiaTheme="majorEastAsia" w:hAnsi="Times New Roman" w:cs="Times New Roman" w:hint="eastAsia"/>
              </w:rPr>
              <w:t>為何？</w:t>
            </w:r>
            <w:r w:rsidR="00C41F6A">
              <w:rPr>
                <w:rFonts w:ascii="Times New Roman" w:eastAsiaTheme="majorEastAsia" w:hAnsi="Times New Roman" w:cs="Times New Roman" w:hint="eastAsia"/>
              </w:rPr>
              <w:t>表達意志？</w:t>
            </w:r>
            <w:r w:rsidR="002E4013">
              <w:rPr>
                <w:rFonts w:ascii="Times New Roman" w:eastAsiaTheme="majorEastAsia" w:hAnsi="Times New Roman" w:cs="Times New Roman" w:hint="eastAsia"/>
              </w:rPr>
              <w:t>對被抗議者施壓？或是</w:t>
            </w:r>
            <w:r w:rsidR="00C41F6A">
              <w:rPr>
                <w:rFonts w:ascii="Times New Roman" w:eastAsiaTheme="majorEastAsia" w:hAnsi="Times New Roman" w:cs="Times New Roman"/>
              </w:rPr>
              <w:t>引起群眾</w:t>
            </w:r>
            <w:r w:rsidR="00415574" w:rsidRPr="003F29E1">
              <w:rPr>
                <w:rFonts w:ascii="Times New Roman" w:eastAsiaTheme="majorEastAsia" w:hAnsi="Times New Roman" w:cs="Times New Roman"/>
              </w:rPr>
              <w:t>注意</w:t>
            </w:r>
            <w:r w:rsidR="00C41F6A">
              <w:rPr>
                <w:rFonts w:ascii="Times New Roman" w:eastAsiaTheme="majorEastAsia" w:hAnsi="Times New Roman" w:cs="Times New Roman" w:hint="eastAsia"/>
              </w:rPr>
              <w:t>，形</w:t>
            </w:r>
            <w:r w:rsidR="002E4013">
              <w:rPr>
                <w:rFonts w:ascii="Times New Roman" w:eastAsiaTheme="majorEastAsia" w:hAnsi="Times New Roman" w:cs="Times New Roman" w:hint="eastAsia"/>
              </w:rPr>
              <w:t>成輿論</w:t>
            </w:r>
            <w:r w:rsidR="00C41F6A">
              <w:rPr>
                <w:rFonts w:ascii="Times New Roman" w:eastAsiaTheme="majorEastAsia" w:hAnsi="Times New Roman" w:cs="Times New Roman" w:hint="eastAsia"/>
              </w:rPr>
              <w:t>與影響政策方向</w:t>
            </w:r>
            <w:r w:rsidR="002E4013">
              <w:rPr>
                <w:rFonts w:ascii="Times New Roman" w:eastAsiaTheme="majorEastAsia" w:hAnsi="Times New Roman" w:cs="Times New Roman" w:hint="eastAsia"/>
              </w:rPr>
              <w:t>？</w:t>
            </w:r>
          </w:p>
        </w:tc>
      </w:tr>
    </w:tbl>
    <w:p w14:paraId="15C21E61" w14:textId="6034B725" w:rsidR="006343AA" w:rsidRDefault="006343AA" w:rsidP="004E5A67">
      <w:pPr>
        <w:pStyle w:val="a3"/>
        <w:numPr>
          <w:ilvl w:val="0"/>
          <w:numId w:val="15"/>
        </w:numPr>
        <w:spacing w:line="276" w:lineRule="auto"/>
        <w:ind w:leftChars="0"/>
      </w:pPr>
      <w:r>
        <w:rPr>
          <w:rFonts w:hint="eastAsia"/>
        </w:rPr>
        <w:lastRenderedPageBreak/>
        <w:t>時間限制</w:t>
      </w:r>
    </w:p>
    <w:tbl>
      <w:tblPr>
        <w:tblStyle w:val="ab"/>
        <w:tblW w:w="0" w:type="auto"/>
        <w:tblInd w:w="2040" w:type="dxa"/>
        <w:tblLook w:val="04A0" w:firstRow="1" w:lastRow="0" w:firstColumn="1" w:lastColumn="0" w:noHBand="0" w:noVBand="1"/>
      </w:tblPr>
      <w:tblGrid>
        <w:gridCol w:w="6482"/>
      </w:tblGrid>
      <w:tr w:rsidR="00027BCA" w14:paraId="70A3B3FA" w14:textId="77777777" w:rsidTr="009A2323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119D5637" w14:textId="605916AA" w:rsidR="008663E9" w:rsidRPr="00BE08D0" w:rsidRDefault="00AB1036" w:rsidP="004E5A67">
            <w:pPr>
              <w:pStyle w:val="a3"/>
              <w:numPr>
                <w:ilvl w:val="0"/>
                <w:numId w:val="26"/>
              </w:numPr>
              <w:spacing w:line="276" w:lineRule="auto"/>
              <w:ind w:leftChars="0"/>
              <w:jc w:val="both"/>
            </w:pPr>
            <w:r w:rsidRPr="00BE08D0">
              <w:rPr>
                <w:rFonts w:hint="eastAsia"/>
              </w:rPr>
              <w:t>提前報備</w:t>
            </w:r>
            <w:r w:rsidR="008663E9" w:rsidRPr="00BE08D0">
              <w:rPr>
                <w:rFonts w:hint="eastAsia"/>
              </w:rPr>
              <w:t>時間</w:t>
            </w:r>
            <w:r>
              <w:rPr>
                <w:rFonts w:hint="eastAsia"/>
              </w:rPr>
              <w:t>長短對人民的</w:t>
            </w:r>
            <w:r w:rsidR="008663E9" w:rsidRPr="00BE08D0">
              <w:rPr>
                <w:rFonts w:hint="eastAsia"/>
              </w:rPr>
              <w:t>影響：</w:t>
            </w:r>
          </w:p>
          <w:p w14:paraId="65279FD6" w14:textId="5036EBE6" w:rsidR="008663E9" w:rsidRPr="00BE08D0" w:rsidRDefault="008663E9" w:rsidP="008663E9">
            <w:pPr>
              <w:pStyle w:val="a3"/>
              <w:numPr>
                <w:ilvl w:val="0"/>
                <w:numId w:val="34"/>
              </w:numPr>
              <w:spacing w:line="276" w:lineRule="auto"/>
              <w:ind w:leftChars="0"/>
              <w:jc w:val="both"/>
            </w:pPr>
            <w:r w:rsidRPr="00BE08D0">
              <w:rPr>
                <w:rFonts w:hint="eastAsia"/>
              </w:rPr>
              <w:t>時間太長：剝奪臨時性</w:t>
            </w:r>
            <w:r w:rsidR="00C41F6A">
              <w:rPr>
                <w:rFonts w:hint="eastAsia"/>
              </w:rPr>
              <w:t>，偶發性</w:t>
            </w:r>
            <w:r w:rsidRPr="00BE08D0">
              <w:rPr>
                <w:rFonts w:hint="eastAsia"/>
              </w:rPr>
              <w:t>集會遊行的權利。</w:t>
            </w:r>
          </w:p>
          <w:p w14:paraId="48BAAAD9" w14:textId="5D969CDC" w:rsidR="00CE7C5D" w:rsidRPr="00BE08D0" w:rsidRDefault="00C41F6A" w:rsidP="008663E9">
            <w:pPr>
              <w:pStyle w:val="a3"/>
              <w:numPr>
                <w:ilvl w:val="0"/>
                <w:numId w:val="34"/>
              </w:numPr>
              <w:spacing w:line="276" w:lineRule="auto"/>
              <w:ind w:leftChars="0"/>
              <w:jc w:val="both"/>
            </w:pPr>
            <w:r>
              <w:rPr>
                <w:rFonts w:hint="eastAsia"/>
              </w:rPr>
              <w:t>時間太短：影響到警察事前的準備</w:t>
            </w:r>
            <w:r w:rsidR="00AB1036">
              <w:rPr>
                <w:rFonts w:hint="eastAsia"/>
              </w:rPr>
              <w:t>以及</w:t>
            </w:r>
            <w:r w:rsidR="008663E9" w:rsidRPr="00BE08D0">
              <w:rPr>
                <w:rFonts w:hint="eastAsia"/>
              </w:rPr>
              <w:t>影響其他人的權利。</w:t>
            </w:r>
          </w:p>
          <w:p w14:paraId="1AAAFE06" w14:textId="4E77AACC" w:rsidR="00CE7C5D" w:rsidRPr="00BE08D0" w:rsidRDefault="004E7251" w:rsidP="004E5A67">
            <w:pPr>
              <w:pStyle w:val="a3"/>
              <w:numPr>
                <w:ilvl w:val="0"/>
                <w:numId w:val="26"/>
              </w:numPr>
              <w:spacing w:line="276" w:lineRule="auto"/>
              <w:ind w:leftChars="0"/>
              <w:jc w:val="both"/>
            </w:pPr>
            <w:r w:rsidRPr="00BE08D0">
              <w:rPr>
                <w:rFonts w:hint="eastAsia"/>
              </w:rPr>
              <w:t>違反時間規定的法律效果：</w:t>
            </w:r>
            <w:r w:rsidR="00C41F6A">
              <w:rPr>
                <w:rFonts w:hint="eastAsia"/>
              </w:rPr>
              <w:t>應採</w:t>
            </w:r>
            <w:r w:rsidR="00C51EFE" w:rsidRPr="00BE08D0">
              <w:rPr>
                <w:rFonts w:hint="eastAsia"/>
              </w:rPr>
              <w:t>不准行使集會遊行</w:t>
            </w:r>
            <w:r w:rsidR="00C51EFE" w:rsidRPr="00BE08D0">
              <w:rPr>
                <w:rFonts w:hint="eastAsia"/>
              </w:rPr>
              <w:t>(</w:t>
            </w:r>
            <w:r w:rsidR="00C51EFE" w:rsidRPr="00BE08D0">
              <w:rPr>
                <w:rFonts w:hint="eastAsia"/>
              </w:rPr>
              <w:t>許可</w:t>
            </w:r>
            <w:r w:rsidR="00C51EFE" w:rsidRPr="00BE08D0">
              <w:rPr>
                <w:rFonts w:hint="eastAsia"/>
              </w:rPr>
              <w:lastRenderedPageBreak/>
              <w:t>制或報備制都有可能會發生</w:t>
            </w:r>
            <w:r w:rsidR="00C51EFE" w:rsidRPr="00BE08D0">
              <w:rPr>
                <w:rFonts w:hint="eastAsia"/>
              </w:rPr>
              <w:t>)</w:t>
            </w:r>
            <w:r w:rsidR="00C41F6A">
              <w:rPr>
                <w:rFonts w:hint="eastAsia"/>
              </w:rPr>
              <w:t>，或是僅止於金錢裁罰即可？</w:t>
            </w:r>
          </w:p>
          <w:p w14:paraId="545A1466" w14:textId="53E8E4B6" w:rsidR="00C51EFE" w:rsidRPr="00BE08D0" w:rsidRDefault="00C51EFE" w:rsidP="004E5A67">
            <w:pPr>
              <w:pStyle w:val="a3"/>
              <w:numPr>
                <w:ilvl w:val="0"/>
                <w:numId w:val="26"/>
              </w:numPr>
              <w:spacing w:line="276" w:lineRule="auto"/>
              <w:ind w:leftChars="0"/>
              <w:jc w:val="both"/>
            </w:pPr>
            <w:r w:rsidRPr="00BE08D0">
              <w:rPr>
                <w:rFonts w:hint="eastAsia"/>
              </w:rPr>
              <w:t>核心爭議：一旦集會遊行的申請被拒絕，</w:t>
            </w:r>
            <w:r w:rsidR="00591C52" w:rsidRPr="00BE08D0">
              <w:rPr>
                <w:rFonts w:hint="eastAsia"/>
              </w:rPr>
              <w:t>人民</w:t>
            </w:r>
            <w:r w:rsidRPr="00BE08D0">
              <w:rPr>
                <w:rFonts w:hint="eastAsia"/>
              </w:rPr>
              <w:t>如何進行救濟？</w:t>
            </w:r>
          </w:p>
          <w:p w14:paraId="5FE02195" w14:textId="77777777" w:rsidR="00C41F6A" w:rsidRDefault="00591C52" w:rsidP="00F76EF3">
            <w:pPr>
              <w:pStyle w:val="a3"/>
              <w:spacing w:line="276" w:lineRule="auto"/>
              <w:ind w:leftChars="150" w:left="360"/>
              <w:jc w:val="both"/>
            </w:pPr>
            <w:r w:rsidRPr="00BE08D0">
              <w:rPr>
                <w:rFonts w:hint="eastAsia"/>
              </w:rPr>
              <w:t>→</w:t>
            </w:r>
            <w:r w:rsidR="00A77D4D" w:rsidRPr="00BE08D0">
              <w:rPr>
                <w:rFonts w:hint="eastAsia"/>
              </w:rPr>
              <w:t>現行</w:t>
            </w:r>
            <w:r w:rsidRPr="00BE08D0">
              <w:rPr>
                <w:rFonts w:hint="eastAsia"/>
              </w:rPr>
              <w:t>《</w:t>
            </w:r>
            <w:r w:rsidR="00A77D4D" w:rsidRPr="00BE08D0">
              <w:rPr>
                <w:rFonts w:hint="eastAsia"/>
              </w:rPr>
              <w:t>集會遊行法</w:t>
            </w:r>
            <w:r w:rsidRPr="00BE08D0">
              <w:rPr>
                <w:rFonts w:hint="eastAsia"/>
              </w:rPr>
              <w:t>》</w:t>
            </w:r>
            <w:r w:rsidR="00A77D4D" w:rsidRPr="00BE08D0">
              <w:rPr>
                <w:rFonts w:hint="eastAsia"/>
              </w:rPr>
              <w:t>的規定只能向上級機關提起救濟，基於行政一體原則，</w:t>
            </w:r>
            <w:r w:rsidRPr="00BE08D0">
              <w:rPr>
                <w:rFonts w:hint="eastAsia"/>
              </w:rPr>
              <w:t>通常不會做出改判的決定</w:t>
            </w:r>
            <w:r w:rsidR="00FA2CBC" w:rsidRPr="00BE08D0">
              <w:rPr>
                <w:rFonts w:hint="eastAsia"/>
              </w:rPr>
              <w:t>，影響到人民的救濟權利</w:t>
            </w:r>
            <w:r w:rsidRPr="00BE08D0">
              <w:rPr>
                <w:rFonts w:hint="eastAsia"/>
              </w:rPr>
              <w:t>。</w:t>
            </w:r>
          </w:p>
          <w:p w14:paraId="03D07EF8" w14:textId="260B3556" w:rsidR="00E07BF7" w:rsidRPr="00BE08D0" w:rsidRDefault="00C41F6A" w:rsidP="00F76EF3">
            <w:pPr>
              <w:pStyle w:val="a3"/>
              <w:spacing w:line="276" w:lineRule="auto"/>
              <w:ind w:leftChars="150" w:left="360"/>
              <w:jc w:val="both"/>
            </w:pPr>
            <w:r w:rsidRPr="00BE08D0">
              <w:rPr>
                <w:rFonts w:hint="eastAsia"/>
              </w:rPr>
              <w:t>→</w:t>
            </w:r>
            <w:r>
              <w:rPr>
                <w:rFonts w:hint="eastAsia"/>
              </w:rPr>
              <w:t>修法方向：應建制</w:t>
            </w:r>
            <w:r w:rsidR="00A77D4D" w:rsidRPr="00BE08D0">
              <w:rPr>
                <w:rFonts w:hint="eastAsia"/>
              </w:rPr>
              <w:t>司法機關</w:t>
            </w:r>
            <w:r>
              <w:rPr>
                <w:rFonts w:hint="eastAsia"/>
              </w:rPr>
              <w:t>得以</w:t>
            </w:r>
            <w:r w:rsidR="00FA2CBC" w:rsidRPr="00BE08D0">
              <w:rPr>
                <w:rFonts w:hint="eastAsia"/>
              </w:rPr>
              <w:t>即</w:t>
            </w:r>
            <w:r>
              <w:rPr>
                <w:rFonts w:hint="eastAsia"/>
              </w:rPr>
              <w:t>時</w:t>
            </w:r>
            <w:r w:rsidR="00FA2CBC" w:rsidRPr="00BE08D0">
              <w:rPr>
                <w:rFonts w:hint="eastAsia"/>
              </w:rPr>
              <w:t>介入</w:t>
            </w:r>
            <w:r>
              <w:rPr>
                <w:rFonts w:hint="eastAsia"/>
              </w:rPr>
              <w:t>的機制，以避免行政濫權，並</w:t>
            </w:r>
            <w:r w:rsidR="00FA2CBC" w:rsidRPr="00BE08D0">
              <w:rPr>
                <w:rFonts w:hint="eastAsia"/>
              </w:rPr>
              <w:t>確保人民權利。</w:t>
            </w:r>
          </w:p>
        </w:tc>
      </w:tr>
    </w:tbl>
    <w:p w14:paraId="499B9E1C" w14:textId="15626C5B" w:rsidR="00027BCA" w:rsidRDefault="006343AA" w:rsidP="004E5A67">
      <w:pPr>
        <w:pStyle w:val="a3"/>
        <w:numPr>
          <w:ilvl w:val="0"/>
          <w:numId w:val="15"/>
        </w:numPr>
        <w:spacing w:line="276" w:lineRule="auto"/>
        <w:ind w:leftChars="0"/>
      </w:pPr>
      <w:r>
        <w:rPr>
          <w:rFonts w:hint="eastAsia"/>
        </w:rPr>
        <w:lastRenderedPageBreak/>
        <w:t>方式限制</w:t>
      </w:r>
    </w:p>
    <w:tbl>
      <w:tblPr>
        <w:tblStyle w:val="ab"/>
        <w:tblW w:w="0" w:type="auto"/>
        <w:tblInd w:w="2040" w:type="dxa"/>
        <w:tblLook w:val="04A0" w:firstRow="1" w:lastRow="0" w:firstColumn="1" w:lastColumn="0" w:noHBand="0" w:noVBand="1"/>
      </w:tblPr>
      <w:tblGrid>
        <w:gridCol w:w="6482"/>
      </w:tblGrid>
      <w:tr w:rsidR="00027BCA" w14:paraId="40A5D773" w14:textId="77777777" w:rsidTr="009A2323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1709F88A" w14:textId="616AF34F" w:rsidR="00C41F6A" w:rsidRDefault="00C41F6A" w:rsidP="004E5A67">
            <w:pPr>
              <w:pStyle w:val="a3"/>
              <w:numPr>
                <w:ilvl w:val="0"/>
                <w:numId w:val="27"/>
              </w:numPr>
              <w:spacing w:line="276" w:lineRule="auto"/>
              <w:ind w:leftChars="0"/>
            </w:pPr>
            <w:r>
              <w:rPr>
                <w:rFonts w:hint="eastAsia"/>
              </w:rPr>
              <w:t>和平原則</w:t>
            </w:r>
            <w:r w:rsidR="008A55C7">
              <w:rPr>
                <w:rFonts w:hint="eastAsia"/>
              </w:rPr>
              <w:t>：</w:t>
            </w:r>
            <w:r>
              <w:rPr>
                <w:rFonts w:hint="eastAsia"/>
              </w:rPr>
              <w:t>不得攜帶危險器械。</w:t>
            </w:r>
          </w:p>
          <w:p w14:paraId="44EFDAB3" w14:textId="490928AD" w:rsidR="00CE7C5D" w:rsidRPr="004C2315" w:rsidRDefault="00C41F6A" w:rsidP="004C2315">
            <w:pPr>
              <w:pStyle w:val="a3"/>
              <w:numPr>
                <w:ilvl w:val="0"/>
                <w:numId w:val="27"/>
              </w:numPr>
              <w:spacing w:line="276" w:lineRule="auto"/>
              <w:ind w:leftChars="0"/>
            </w:pPr>
            <w:r>
              <w:rPr>
                <w:rFonts w:hint="eastAsia"/>
              </w:rPr>
              <w:t>公開原則：不得蒙面或其他妨害警方蒐證的裝扮或行為。</w:t>
            </w:r>
          </w:p>
        </w:tc>
      </w:tr>
    </w:tbl>
    <w:p w14:paraId="319E8384" w14:textId="2CD7E4C7" w:rsidR="007C2118" w:rsidRDefault="007C2118" w:rsidP="004E5A67">
      <w:pPr>
        <w:pStyle w:val="a3"/>
        <w:numPr>
          <w:ilvl w:val="0"/>
          <w:numId w:val="5"/>
        </w:numPr>
        <w:spacing w:line="276" w:lineRule="auto"/>
        <w:ind w:leftChars="0"/>
      </w:pPr>
      <w:r w:rsidRPr="003D6B63">
        <w:t>制裁措施</w:t>
      </w:r>
    </w:p>
    <w:p w14:paraId="1293029C" w14:textId="0DA4D1D6" w:rsidR="00A762DE" w:rsidRDefault="00A762DE" w:rsidP="004E5A67">
      <w:pPr>
        <w:pStyle w:val="a3"/>
        <w:numPr>
          <w:ilvl w:val="0"/>
          <w:numId w:val="11"/>
        </w:numPr>
        <w:spacing w:line="276" w:lineRule="auto"/>
        <w:ind w:leftChars="0"/>
      </w:pPr>
      <w:r>
        <w:rPr>
          <w:rFonts w:hint="eastAsia"/>
        </w:rPr>
        <w:t>對象</w:t>
      </w:r>
    </w:p>
    <w:tbl>
      <w:tblPr>
        <w:tblStyle w:val="ab"/>
        <w:tblW w:w="0" w:type="auto"/>
        <w:tblInd w:w="1680" w:type="dxa"/>
        <w:tblLook w:val="04A0" w:firstRow="1" w:lastRow="0" w:firstColumn="1" w:lastColumn="0" w:noHBand="0" w:noVBand="1"/>
      </w:tblPr>
      <w:tblGrid>
        <w:gridCol w:w="6842"/>
      </w:tblGrid>
      <w:tr w:rsidR="00027BCA" w14:paraId="26E0F869" w14:textId="77777777" w:rsidTr="001C08E5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37594D07" w14:textId="1844C1E5" w:rsidR="00027BCA" w:rsidRDefault="003216D0" w:rsidP="002169DE">
            <w:pPr>
              <w:pStyle w:val="a3"/>
              <w:numPr>
                <w:ilvl w:val="0"/>
                <w:numId w:val="36"/>
              </w:numPr>
              <w:spacing w:line="276" w:lineRule="auto"/>
              <w:ind w:leftChars="0"/>
            </w:pPr>
            <w:r>
              <w:rPr>
                <w:rFonts w:hint="eastAsia"/>
              </w:rPr>
              <w:t>處罰對象是一般參與遊行者</w:t>
            </w:r>
            <w:r w:rsidR="00491F4C">
              <w:rPr>
                <w:rFonts w:hint="eastAsia"/>
              </w:rPr>
              <w:t>或是</w:t>
            </w:r>
            <w:r>
              <w:rPr>
                <w:rFonts w:hint="eastAsia"/>
              </w:rPr>
              <w:t>只處罰</w:t>
            </w:r>
            <w:r w:rsidR="00491F4C">
              <w:rPr>
                <w:rFonts w:hint="eastAsia"/>
              </w:rPr>
              <w:t>首謀者</w:t>
            </w:r>
            <w:r w:rsidR="004C2315">
              <w:rPr>
                <w:rFonts w:hint="eastAsia"/>
              </w:rPr>
              <w:t>？</w:t>
            </w:r>
          </w:p>
          <w:p w14:paraId="66FA2EC4" w14:textId="50C21132" w:rsidR="004C2315" w:rsidRDefault="002169DE" w:rsidP="002169DE">
            <w:pPr>
              <w:pStyle w:val="a3"/>
              <w:numPr>
                <w:ilvl w:val="0"/>
                <w:numId w:val="36"/>
              </w:numPr>
              <w:spacing w:line="276" w:lineRule="auto"/>
              <w:ind w:leftChars="0"/>
            </w:pPr>
            <w:r>
              <w:rPr>
                <w:rFonts w:hint="eastAsia"/>
              </w:rPr>
              <w:t>主導規劃集遊活動的領導人是否應在法律上負擔比較多的責任？</w:t>
            </w:r>
          </w:p>
        </w:tc>
      </w:tr>
    </w:tbl>
    <w:p w14:paraId="406FFE4C" w14:textId="7E21CAD5" w:rsidR="00027BCA" w:rsidRDefault="00A762DE" w:rsidP="004E5A67">
      <w:pPr>
        <w:pStyle w:val="a3"/>
        <w:numPr>
          <w:ilvl w:val="0"/>
          <w:numId w:val="11"/>
        </w:numPr>
        <w:spacing w:line="276" w:lineRule="auto"/>
        <w:ind w:leftChars="0"/>
      </w:pPr>
      <w:r>
        <w:rPr>
          <w:rFonts w:hint="eastAsia"/>
        </w:rPr>
        <w:t>刑事處罰或行政罰</w:t>
      </w:r>
    </w:p>
    <w:tbl>
      <w:tblPr>
        <w:tblStyle w:val="ab"/>
        <w:tblW w:w="0" w:type="auto"/>
        <w:tblInd w:w="1680" w:type="dxa"/>
        <w:tblLook w:val="04A0" w:firstRow="1" w:lastRow="0" w:firstColumn="1" w:lastColumn="0" w:noHBand="0" w:noVBand="1"/>
      </w:tblPr>
      <w:tblGrid>
        <w:gridCol w:w="6842"/>
      </w:tblGrid>
      <w:tr w:rsidR="00027BCA" w14:paraId="634F9DB2" w14:textId="77777777" w:rsidTr="009A2323">
        <w:tc>
          <w:tcPr>
            <w:tcW w:w="8362" w:type="dxa"/>
            <w:tcBorders>
              <w:top w:val="nil"/>
              <w:left w:val="nil"/>
              <w:bottom w:val="nil"/>
              <w:right w:val="nil"/>
            </w:tcBorders>
          </w:tcPr>
          <w:p w14:paraId="152059EE" w14:textId="77777777" w:rsidR="00C32BB1" w:rsidRDefault="00A7420B" w:rsidP="00C32BB1">
            <w:pPr>
              <w:pStyle w:val="a3"/>
              <w:numPr>
                <w:ilvl w:val="0"/>
                <w:numId w:val="23"/>
              </w:numPr>
              <w:spacing w:line="276" w:lineRule="auto"/>
              <w:ind w:leftChars="0"/>
            </w:pPr>
            <w:r>
              <w:rPr>
                <w:rFonts w:hint="eastAsia"/>
              </w:rPr>
              <w:t>刑事處罰</w:t>
            </w:r>
            <w:r w:rsidR="00AB1036">
              <w:rPr>
                <w:rFonts w:hint="eastAsia"/>
              </w:rPr>
              <w:t>：</w:t>
            </w:r>
            <w:r w:rsidR="004E02B3">
              <w:rPr>
                <w:rFonts w:hint="eastAsia"/>
              </w:rPr>
              <w:t>只對首謀者進行刑事處罰，</w:t>
            </w:r>
            <w:r w:rsidR="00C32BB1">
              <w:rPr>
                <w:rFonts w:hint="eastAsia"/>
              </w:rPr>
              <w:t>是否有違反比例原則</w:t>
            </w:r>
            <w:r>
              <w:rPr>
                <w:rFonts w:hint="eastAsia"/>
              </w:rPr>
              <w:t>？</w:t>
            </w:r>
          </w:p>
          <w:p w14:paraId="7FE22BAB" w14:textId="094C6B9F" w:rsidR="00C0227E" w:rsidRDefault="004E02B3" w:rsidP="00C32BB1">
            <w:pPr>
              <w:pStyle w:val="a3"/>
              <w:numPr>
                <w:ilvl w:val="0"/>
                <w:numId w:val="23"/>
              </w:numPr>
              <w:spacing w:line="276" w:lineRule="auto"/>
              <w:ind w:leftChars="0"/>
            </w:pPr>
            <w:r>
              <w:rPr>
                <w:rFonts w:hint="eastAsia"/>
              </w:rPr>
              <w:t>若在集會遊行過程中有破壞</w:t>
            </w:r>
            <w:r w:rsidR="00C32BB1">
              <w:rPr>
                <w:rFonts w:hint="eastAsia"/>
              </w:rPr>
              <w:t>他人（路人或商家）身體或</w:t>
            </w:r>
            <w:r>
              <w:rPr>
                <w:rFonts w:hint="eastAsia"/>
              </w:rPr>
              <w:t>財產，</w:t>
            </w:r>
            <w:r w:rsidR="00C32BB1">
              <w:rPr>
                <w:rFonts w:hint="eastAsia"/>
              </w:rPr>
              <w:t>或公產（如街道傢俱），受害者</w:t>
            </w:r>
            <w:r w:rsidR="00491F4C">
              <w:rPr>
                <w:rFonts w:hint="eastAsia"/>
              </w:rPr>
              <w:t>要向誰求償？</w:t>
            </w:r>
          </w:p>
          <w:p w14:paraId="47DC23A0" w14:textId="61589321" w:rsidR="00027BCA" w:rsidRDefault="00A7420B" w:rsidP="004E5A67">
            <w:pPr>
              <w:pStyle w:val="a3"/>
              <w:numPr>
                <w:ilvl w:val="0"/>
                <w:numId w:val="23"/>
              </w:numPr>
              <w:spacing w:line="276" w:lineRule="auto"/>
              <w:ind w:leftChars="0"/>
            </w:pPr>
            <w:r>
              <w:rPr>
                <w:rFonts w:hint="eastAsia"/>
              </w:rPr>
              <w:t>行政罰</w:t>
            </w:r>
            <w:r w:rsidR="004C2315">
              <w:rPr>
                <w:rFonts w:hint="eastAsia"/>
              </w:rPr>
              <w:t>：是否可能因裁罰強度太弱而無法有效維護公共秩序與他人權利？</w:t>
            </w:r>
          </w:p>
        </w:tc>
      </w:tr>
    </w:tbl>
    <w:p w14:paraId="54F4CAD4" w14:textId="79EB2215" w:rsidR="00027BCA" w:rsidRDefault="00A762DE" w:rsidP="004E5A67">
      <w:pPr>
        <w:pStyle w:val="a3"/>
        <w:numPr>
          <w:ilvl w:val="0"/>
          <w:numId w:val="11"/>
        </w:numPr>
        <w:spacing w:line="276" w:lineRule="auto"/>
        <w:ind w:leftChars="0"/>
      </w:pPr>
      <w:r>
        <w:rPr>
          <w:rFonts w:hint="eastAsia"/>
        </w:rPr>
        <w:t>一般法或專法</w:t>
      </w:r>
      <w:r w:rsidR="00C37DE8">
        <w:rPr>
          <w:rFonts w:hint="eastAsia"/>
        </w:rPr>
        <w:t>？</w:t>
      </w:r>
    </w:p>
    <w:p w14:paraId="5E807627" w14:textId="77777777" w:rsidR="004C2315" w:rsidRDefault="004C2315" w:rsidP="004C2315">
      <w:pPr>
        <w:pStyle w:val="a3"/>
        <w:spacing w:line="276" w:lineRule="auto"/>
        <w:ind w:leftChars="0" w:left="1680"/>
      </w:pPr>
    </w:p>
    <w:p w14:paraId="7B12A67E" w14:textId="77777777" w:rsidR="009A2323" w:rsidRDefault="009A2323" w:rsidP="004C2315">
      <w:pPr>
        <w:pStyle w:val="a3"/>
        <w:spacing w:line="276" w:lineRule="auto"/>
        <w:ind w:leftChars="0" w:left="1680"/>
      </w:pPr>
    </w:p>
    <w:p w14:paraId="40D06ACA" w14:textId="5D3A74AA" w:rsidR="009A2323" w:rsidRDefault="004C2315" w:rsidP="009A2323">
      <w:pPr>
        <w:spacing w:line="276" w:lineRule="auto"/>
        <w:rPr>
          <w:b/>
          <w:bCs/>
        </w:rPr>
      </w:pPr>
      <w:r>
        <w:rPr>
          <w:rFonts w:hint="eastAsia"/>
          <w:b/>
          <w:bCs/>
        </w:rPr>
        <w:t xml:space="preserve">        </w:t>
      </w:r>
      <w:r>
        <w:rPr>
          <w:rFonts w:hint="eastAsia"/>
          <w:b/>
          <w:bCs/>
        </w:rPr>
        <w:t>總結：制度應如何設計，應思考以下問題：</w:t>
      </w:r>
    </w:p>
    <w:p w14:paraId="158A3513" w14:textId="77777777" w:rsidR="009A2323" w:rsidRDefault="009A2323" w:rsidP="009A2323">
      <w:pPr>
        <w:spacing w:line="276" w:lineRule="auto"/>
        <w:rPr>
          <w:b/>
          <w:bCs/>
        </w:rPr>
      </w:pPr>
    </w:p>
    <w:p w14:paraId="512C0AD6" w14:textId="77777777" w:rsidR="009A2323" w:rsidRPr="009A2323" w:rsidRDefault="009A2323" w:rsidP="009A2323">
      <w:pPr>
        <w:numPr>
          <w:ilvl w:val="0"/>
          <w:numId w:val="35"/>
        </w:numPr>
        <w:spacing w:line="276" w:lineRule="auto"/>
        <w:rPr>
          <w:b/>
          <w:bCs/>
        </w:rPr>
      </w:pPr>
      <w:r w:rsidRPr="009A2323">
        <w:rPr>
          <w:rFonts w:hint="eastAsia"/>
          <w:b/>
          <w:bCs/>
        </w:rPr>
        <w:t>民主體制是否正常運作？</w:t>
      </w:r>
    </w:p>
    <w:p w14:paraId="21A8924E" w14:textId="77777777" w:rsidR="009A2323" w:rsidRDefault="009A2323" w:rsidP="009A2323">
      <w:pPr>
        <w:numPr>
          <w:ilvl w:val="0"/>
          <w:numId w:val="35"/>
        </w:numPr>
        <w:spacing w:line="276" w:lineRule="auto"/>
        <w:rPr>
          <w:b/>
          <w:bCs/>
        </w:rPr>
      </w:pPr>
      <w:r w:rsidRPr="009A2323">
        <w:rPr>
          <w:rFonts w:hint="eastAsia"/>
          <w:b/>
          <w:bCs/>
        </w:rPr>
        <w:t>法治國原則是否落實？</w:t>
      </w:r>
    </w:p>
    <w:p w14:paraId="3532BA34" w14:textId="3E1F4037" w:rsidR="009A2323" w:rsidRDefault="009A2323" w:rsidP="009A2323">
      <w:pPr>
        <w:numPr>
          <w:ilvl w:val="0"/>
          <w:numId w:val="35"/>
        </w:numPr>
        <w:spacing w:line="276" w:lineRule="auto"/>
        <w:rPr>
          <w:b/>
          <w:bCs/>
        </w:rPr>
      </w:pPr>
      <w:r w:rsidRPr="009A2323">
        <w:rPr>
          <w:rFonts w:hint="eastAsia"/>
          <w:b/>
          <w:bCs/>
        </w:rPr>
        <w:t>過去集遊活動的實際管制強度與運作情況</w:t>
      </w:r>
    </w:p>
    <w:p w14:paraId="4FEF5CD7" w14:textId="56AE70B4" w:rsidR="009A2323" w:rsidRPr="009A2323" w:rsidRDefault="009A2323" w:rsidP="009A2323">
      <w:pPr>
        <w:numPr>
          <w:ilvl w:val="0"/>
          <w:numId w:val="35"/>
        </w:numPr>
        <w:spacing w:line="276" w:lineRule="auto"/>
        <w:rPr>
          <w:b/>
          <w:bCs/>
        </w:rPr>
      </w:pPr>
      <w:r>
        <w:rPr>
          <w:rFonts w:hint="eastAsia"/>
          <w:b/>
          <w:bCs/>
        </w:rPr>
        <w:t>其他民主法治國的制度建制情形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single" w:sz="12" w:space="0" w:color="auto"/>
          <w:right w:val="none" w:sz="0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62"/>
      </w:tblGrid>
      <w:tr w:rsidR="009A2323" w14:paraId="666AFB6B" w14:textId="77777777" w:rsidTr="009A2323">
        <w:tc>
          <w:tcPr>
            <w:tcW w:w="8362" w:type="dxa"/>
          </w:tcPr>
          <w:p w14:paraId="687B8A06" w14:textId="77777777" w:rsidR="009A2323" w:rsidRDefault="009A2323" w:rsidP="009A2323">
            <w:pPr>
              <w:spacing w:line="276" w:lineRule="auto"/>
              <w:rPr>
                <w:b/>
                <w:bCs/>
                <w:u w:val="single"/>
              </w:rPr>
            </w:pPr>
          </w:p>
        </w:tc>
      </w:tr>
    </w:tbl>
    <w:p w14:paraId="12000A33" w14:textId="77777777" w:rsidR="00536CC0" w:rsidRDefault="007C2118" w:rsidP="00BD3A51">
      <w:pPr>
        <w:spacing w:line="276" w:lineRule="auto"/>
      </w:pPr>
      <w:r w:rsidRPr="003D6B63">
        <w:t>指定閱讀：</w:t>
      </w:r>
    </w:p>
    <w:p w14:paraId="7CF00DA8" w14:textId="2D9FB323" w:rsidR="00536CC0" w:rsidRDefault="00536CC0" w:rsidP="004E5A67">
      <w:pPr>
        <w:pStyle w:val="a3"/>
        <w:numPr>
          <w:ilvl w:val="0"/>
          <w:numId w:val="1"/>
        </w:numPr>
        <w:spacing w:line="276" w:lineRule="auto"/>
        <w:ind w:leftChars="0"/>
      </w:pPr>
      <w:r w:rsidRPr="000C518D">
        <w:rPr>
          <w:rFonts w:hint="eastAsia"/>
        </w:rPr>
        <w:t>Ceiba</w:t>
      </w:r>
      <w:r w:rsidRPr="000C518D">
        <w:rPr>
          <w:rFonts w:hint="eastAsia"/>
        </w:rPr>
        <w:t>課程網上各參考</w:t>
      </w:r>
      <w:r w:rsidRPr="000C518D">
        <w:t>書</w:t>
      </w:r>
      <w:r w:rsidRPr="000C518D">
        <w:rPr>
          <w:rFonts w:hint="eastAsia"/>
        </w:rPr>
        <w:t>目</w:t>
      </w:r>
      <w:r w:rsidRPr="000C518D">
        <w:t>相關章節</w:t>
      </w:r>
      <w:r w:rsidRPr="000C518D">
        <w:rPr>
          <w:rFonts w:hint="eastAsia"/>
        </w:rPr>
        <w:t>。</w:t>
      </w:r>
    </w:p>
    <w:p w14:paraId="59F1CF55" w14:textId="4F126411" w:rsidR="007C2118" w:rsidRPr="003D6B63" w:rsidRDefault="007C2118" w:rsidP="004E5A67">
      <w:pPr>
        <w:pStyle w:val="a3"/>
        <w:numPr>
          <w:ilvl w:val="0"/>
          <w:numId w:val="1"/>
        </w:numPr>
        <w:spacing w:line="276" w:lineRule="auto"/>
        <w:ind w:leftChars="0"/>
      </w:pPr>
      <w:r w:rsidRPr="003D6B63">
        <w:t>釋字第</w:t>
      </w:r>
      <w:r w:rsidRPr="003D6B63">
        <w:t>445</w:t>
      </w:r>
      <w:r w:rsidR="00536CC0">
        <w:t>號解釋</w:t>
      </w:r>
      <w:r w:rsidR="00536CC0">
        <w:rPr>
          <w:rFonts w:hint="eastAsia"/>
        </w:rPr>
        <w:t>，</w:t>
      </w:r>
      <w:hyperlink r:id="rId17" w:history="1">
        <w:r w:rsidR="00536CC0" w:rsidRPr="00CF4072">
          <w:rPr>
            <w:rStyle w:val="a4"/>
          </w:rPr>
          <w:t>http://www.judicial.gov.tw/constitutionalcourt/p03_01.asp?expno=445</w:t>
        </w:r>
      </w:hyperlink>
      <w:r w:rsidR="00536CC0">
        <w:rPr>
          <w:rFonts w:hint="eastAsia"/>
        </w:rPr>
        <w:t>。</w:t>
      </w:r>
    </w:p>
    <w:p w14:paraId="2CABCB71" w14:textId="77777777" w:rsidR="006550A1" w:rsidRPr="003D6B63" w:rsidRDefault="006550A1" w:rsidP="00BD3A51">
      <w:pPr>
        <w:spacing w:line="276" w:lineRule="auto"/>
      </w:pPr>
      <w:r w:rsidRPr="003D6B63">
        <w:lastRenderedPageBreak/>
        <w:t>延伸閱讀：</w:t>
      </w:r>
    </w:p>
    <w:p w14:paraId="55A8868A" w14:textId="7D411294" w:rsidR="006550A1" w:rsidRDefault="006550A1" w:rsidP="004E5A67">
      <w:pPr>
        <w:pStyle w:val="a3"/>
        <w:numPr>
          <w:ilvl w:val="0"/>
          <w:numId w:val="2"/>
        </w:numPr>
        <w:spacing w:line="276" w:lineRule="auto"/>
        <w:ind w:leftChars="0"/>
      </w:pPr>
      <w:r w:rsidRPr="003D6B63">
        <w:t>李震山，</w:t>
      </w:r>
      <w:r w:rsidR="00536CC0">
        <w:rPr>
          <w:rFonts w:hint="eastAsia"/>
        </w:rPr>
        <w:t>〈</w:t>
      </w:r>
      <w:r w:rsidRPr="003D6B63">
        <w:t>論集會自由之事前限制</w:t>
      </w:r>
      <w:r w:rsidR="00536CC0">
        <w:rPr>
          <w:rFonts w:hint="eastAsia"/>
        </w:rPr>
        <w:t>〉</w:t>
      </w:r>
      <w:r w:rsidRPr="003D6B63">
        <w:t>，收於</w:t>
      </w:r>
      <w:r w:rsidR="00536CC0">
        <w:rPr>
          <w:rFonts w:hint="eastAsia"/>
        </w:rPr>
        <w:t>《</w:t>
      </w:r>
      <w:r w:rsidRPr="003D6B63">
        <w:t>政治思潮與國家法學</w:t>
      </w:r>
      <w:r w:rsidRPr="003D6B63">
        <w:t xml:space="preserve"> – </w:t>
      </w:r>
      <w:r w:rsidRPr="003D6B63">
        <w:t>吳庚教授七秩華誕祝壽論文集</w:t>
      </w:r>
      <w:r w:rsidR="00536CC0">
        <w:rPr>
          <w:rFonts w:hint="eastAsia"/>
        </w:rPr>
        <w:t>》</w:t>
      </w:r>
      <w:r w:rsidRPr="003D6B63">
        <w:t>，台北</w:t>
      </w:r>
      <w:r w:rsidR="00536CC0">
        <w:rPr>
          <w:rFonts w:hint="eastAsia"/>
        </w:rPr>
        <w:t>：</w:t>
      </w:r>
      <w:r w:rsidRPr="003D6B63">
        <w:t>元照出版，頁</w:t>
      </w:r>
      <w:r w:rsidRPr="003D6B63">
        <w:t>207</w:t>
      </w:r>
      <w:r w:rsidRPr="003D6B63">
        <w:t>以下。</w:t>
      </w:r>
    </w:p>
    <w:p w14:paraId="19A320DC" w14:textId="35634EDE" w:rsidR="007C2118" w:rsidRDefault="00536CC0" w:rsidP="004E5A67">
      <w:pPr>
        <w:pStyle w:val="a3"/>
        <w:numPr>
          <w:ilvl w:val="0"/>
          <w:numId w:val="2"/>
        </w:numPr>
        <w:spacing w:line="276" w:lineRule="auto"/>
        <w:ind w:leftChars="0"/>
      </w:pPr>
      <w:r w:rsidRPr="003D6B63">
        <w:t>蔡庭榕，</w:t>
      </w:r>
      <w:r>
        <w:rPr>
          <w:rFonts w:hint="eastAsia"/>
        </w:rPr>
        <w:t>〈</w:t>
      </w:r>
      <w:r w:rsidRPr="003D6B63">
        <w:t>論集會遊行權利保障</w:t>
      </w:r>
      <w:r w:rsidRPr="003D6B63">
        <w:t xml:space="preserve"> – </w:t>
      </w:r>
      <w:r w:rsidRPr="003D6B63">
        <w:t>兼評現行法制與修法草案</w:t>
      </w:r>
      <w:r>
        <w:rPr>
          <w:rFonts w:hint="eastAsia"/>
        </w:rPr>
        <w:t>〉</w:t>
      </w:r>
      <w:r w:rsidRPr="003D6B63">
        <w:t>，收於</w:t>
      </w:r>
      <w:r>
        <w:rPr>
          <w:rFonts w:hint="eastAsia"/>
        </w:rPr>
        <w:t>《</w:t>
      </w:r>
      <w:r w:rsidRPr="003D6B63">
        <w:t>政治思潮與國家法學</w:t>
      </w:r>
      <w:r w:rsidRPr="003D6B63">
        <w:t xml:space="preserve"> – </w:t>
      </w:r>
      <w:r w:rsidRPr="003D6B63">
        <w:t>吳庚教授七秩華誕祝壽論文集</w:t>
      </w:r>
      <w:r>
        <w:rPr>
          <w:rFonts w:hint="eastAsia"/>
        </w:rPr>
        <w:t>》</w:t>
      </w:r>
      <w:r>
        <w:t>，台北</w:t>
      </w:r>
      <w:r>
        <w:rPr>
          <w:rFonts w:hint="eastAsia"/>
        </w:rPr>
        <w:t>：</w:t>
      </w:r>
      <w:r w:rsidRPr="003D6B63">
        <w:t>元照出版，頁</w:t>
      </w:r>
      <w:r w:rsidRPr="003D6B63">
        <w:t>369</w:t>
      </w:r>
      <w:r w:rsidRPr="003D6B63">
        <w:t>以下。</w:t>
      </w:r>
    </w:p>
    <w:p w14:paraId="6B9E2C49" w14:textId="77B3190D" w:rsidR="00601FA2" w:rsidRDefault="00601FA2" w:rsidP="00BD3A51">
      <w:pPr>
        <w:spacing w:line="276" w:lineRule="auto"/>
      </w:pPr>
    </w:p>
    <w:p w14:paraId="2CD4ECA7" w14:textId="74C189D4" w:rsidR="00E50D9D" w:rsidRDefault="00E50D9D" w:rsidP="00BD3A51">
      <w:pPr>
        <w:spacing w:line="276" w:lineRule="auto"/>
      </w:pPr>
      <w:r>
        <w:br w:type="page"/>
      </w:r>
    </w:p>
    <w:p w14:paraId="74B96BEA" w14:textId="77777777" w:rsidR="00601FA2" w:rsidRPr="00E87318" w:rsidRDefault="00601FA2" w:rsidP="00BD3A51">
      <w:pPr>
        <w:spacing w:line="276" w:lineRule="auto"/>
        <w:jc w:val="center"/>
        <w:rPr>
          <w:rFonts w:ascii="標楷體" w:eastAsia="標楷體" w:hAnsi="標楷體"/>
          <w:sz w:val="72"/>
          <w:szCs w:val="72"/>
        </w:rPr>
      </w:pPr>
      <w:r w:rsidRPr="00E87318">
        <w:rPr>
          <w:rFonts w:ascii="標楷體" w:eastAsia="標楷體" w:hAnsi="標楷體" w:hint="eastAsia"/>
          <w:sz w:val="72"/>
          <w:szCs w:val="72"/>
          <w:lang w:eastAsia="ja-JP"/>
        </w:rPr>
        <w:lastRenderedPageBreak/>
        <w:t>版權聲明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"/>
        <w:gridCol w:w="4252"/>
        <w:gridCol w:w="993"/>
        <w:gridCol w:w="2235"/>
      </w:tblGrid>
      <w:tr w:rsidR="00601FA2" w:rsidRPr="00E87318" w14:paraId="54469F24" w14:textId="77777777" w:rsidTr="0021346E">
        <w:trPr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086DEC18" w14:textId="77777777" w:rsidR="00601FA2" w:rsidRPr="00E87318" w:rsidRDefault="00601FA2" w:rsidP="002134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細明體"/>
                <w:b/>
                <w:lang w:eastAsia="ja-JP"/>
              </w:rPr>
            </w:pPr>
            <w:r w:rsidRPr="00E87318">
              <w:rPr>
                <w:rFonts w:ascii="標楷體" w:eastAsia="標楷體" w:hAnsi="標楷體" w:cs="細明體" w:hint="eastAsia"/>
                <w:b/>
                <w:lang w:eastAsia="ja-JP"/>
              </w:rPr>
              <w:t>頁碼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7C070066" w14:textId="77777777" w:rsidR="00601FA2" w:rsidRPr="00E87318" w:rsidRDefault="00601FA2" w:rsidP="002134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細明體"/>
                <w:b/>
                <w:lang w:eastAsia="ja-JP"/>
              </w:rPr>
            </w:pPr>
            <w:r w:rsidRPr="00E87318">
              <w:rPr>
                <w:rFonts w:ascii="標楷體" w:eastAsia="標楷體" w:hAnsi="標楷體" w:cs="細明體" w:hint="eastAsia"/>
                <w:b/>
                <w:lang w:eastAsia="ja-JP"/>
              </w:rPr>
              <w:t>作品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3A74549" w14:textId="77777777" w:rsidR="00601FA2" w:rsidRDefault="00601FA2" w:rsidP="002134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細明體"/>
                <w:b/>
              </w:rPr>
            </w:pPr>
            <w:r w:rsidRPr="00E87318">
              <w:rPr>
                <w:rFonts w:ascii="標楷體" w:eastAsia="標楷體" w:hAnsi="標楷體" w:cs="細明體" w:hint="eastAsia"/>
                <w:b/>
                <w:lang w:eastAsia="ja-JP"/>
              </w:rPr>
              <w:t>版權</w:t>
            </w:r>
          </w:p>
          <w:p w14:paraId="3319E181" w14:textId="77777777" w:rsidR="00601FA2" w:rsidRPr="00E87318" w:rsidRDefault="00601FA2" w:rsidP="0021346E">
            <w:pPr>
              <w:suppressAutoHyphens/>
              <w:kinsoku w:val="0"/>
              <w:wordWrap w:val="0"/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細明體"/>
                <w:b/>
                <w:lang w:eastAsia="ja-JP"/>
              </w:rPr>
            </w:pPr>
            <w:r w:rsidRPr="00E87318">
              <w:rPr>
                <w:rFonts w:ascii="標楷體" w:eastAsia="標楷體" w:hAnsi="標楷體" w:cs="細明體" w:hint="eastAsia"/>
                <w:b/>
                <w:lang w:eastAsia="ja-JP"/>
              </w:rPr>
              <w:t>標示</w:t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02ECDF7E" w14:textId="77777777" w:rsidR="00601FA2" w:rsidRPr="00E87318" w:rsidRDefault="00601FA2" w:rsidP="0021346E">
            <w:pPr>
              <w:suppressAutoHyphens/>
              <w:kinsoku w:val="0"/>
              <w:autoSpaceDE w:val="0"/>
              <w:autoSpaceDN w:val="0"/>
              <w:spacing w:line="276" w:lineRule="auto"/>
              <w:jc w:val="center"/>
              <w:rPr>
                <w:rFonts w:ascii="標楷體" w:eastAsia="標楷體" w:hAnsi="標楷體" w:cs="細明體"/>
                <w:b/>
                <w:lang w:eastAsia="ja-JP"/>
              </w:rPr>
            </w:pPr>
            <w:r w:rsidRPr="00E87318">
              <w:rPr>
                <w:rFonts w:ascii="標楷體" w:eastAsia="標楷體" w:hAnsi="標楷體" w:cs="細明體" w:hint="eastAsia"/>
                <w:b/>
                <w:lang w:eastAsia="ja-JP"/>
              </w:rPr>
              <w:t>作者/出處</w:t>
            </w:r>
          </w:p>
        </w:tc>
      </w:tr>
      <w:tr w:rsidR="00601FA2" w:rsidRPr="00E87318" w14:paraId="6F4A21E5" w14:textId="77777777" w:rsidTr="001707DF">
        <w:trPr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34541507" w14:textId="0F02F18A" w:rsidR="00601FA2" w:rsidRPr="00E87318" w:rsidRDefault="00204B3C" w:rsidP="00BD3A51">
            <w:pPr>
              <w:spacing w:line="276" w:lineRule="auto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 w:hint="eastAsia"/>
                <w:sz w:val="36"/>
                <w:szCs w:val="36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18B77C12" w14:textId="2A6565E6" w:rsidR="00601FA2" w:rsidRPr="0021346E" w:rsidRDefault="00204B3C" w:rsidP="0021346E">
            <w:pPr>
              <w:spacing w:line="276" w:lineRule="auto"/>
              <w:rPr>
                <w:rFonts w:eastAsia="標楷體"/>
                <w:color w:val="000000"/>
              </w:rPr>
            </w:pPr>
            <w:r w:rsidRPr="0021346E">
              <w:rPr>
                <w:rFonts w:eastAsia="標楷體"/>
                <w:bCs/>
              </w:rPr>
              <w:t>「人民有集會及結社之自由。」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21F7FCD" w14:textId="1CAC8A90" w:rsidR="00601FA2" w:rsidRPr="00E87318" w:rsidRDefault="00204B3C" w:rsidP="00BD3A51">
            <w:pPr>
              <w:spacing w:line="276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drawing>
                <wp:inline distT="0" distB="0" distL="0" distR="0" wp14:anchorId="224C715C" wp14:editId="69A58EFE">
                  <wp:extent cx="222636" cy="195005"/>
                  <wp:effectExtent l="0" t="0" r="6350" b="0"/>
                  <wp:docPr id="2" name="圖片 2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D76BD55" w14:textId="2DD0C805" w:rsidR="00601FA2" w:rsidRPr="00E87318" w:rsidRDefault="00204B3C" w:rsidP="0021346E">
            <w:pPr>
              <w:spacing w:line="276" w:lineRule="auto"/>
              <w:rPr>
                <w:rFonts w:eastAsia="標楷體"/>
              </w:rPr>
            </w:pPr>
            <w:r w:rsidRPr="00E87318">
              <w:rPr>
                <w:rFonts w:eastAsia="標楷體"/>
              </w:rPr>
              <w:t>中華民國</w:t>
            </w:r>
            <w:r w:rsidRPr="00E87318">
              <w:rPr>
                <w:rFonts w:eastAsia="標楷體" w:hint="eastAsia"/>
              </w:rPr>
              <w:t>憲法</w:t>
            </w: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14</w:t>
            </w:r>
            <w:r>
              <w:rPr>
                <w:rFonts w:eastAsia="標楷體" w:hint="eastAsia"/>
              </w:rPr>
              <w:t>條，</w:t>
            </w:r>
            <w:r w:rsidRPr="00E87318">
              <w:rPr>
                <w:rFonts w:eastAsia="標楷體"/>
              </w:rPr>
              <w:t>屬公共領域之著作。</w:t>
            </w:r>
          </w:p>
        </w:tc>
      </w:tr>
      <w:tr w:rsidR="00601FA2" w:rsidRPr="00221BCE" w14:paraId="63F80D95" w14:textId="77777777" w:rsidTr="001707DF">
        <w:trPr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0A033AFE" w14:textId="0D2F636F" w:rsidR="00601FA2" w:rsidRPr="00221BCE" w:rsidRDefault="009A2323" w:rsidP="00BD3A51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36"/>
                <w:szCs w:val="36"/>
              </w:rPr>
            </w:pPr>
            <w:r>
              <w:rPr>
                <w:rFonts w:eastAsia="標楷體" w:hint="eastAsia"/>
                <w:color w:val="000000" w:themeColor="text1"/>
                <w:sz w:val="36"/>
                <w:szCs w:val="36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38FACBDC" w14:textId="1D5C46A6" w:rsidR="00601FA2" w:rsidRPr="0021346E" w:rsidRDefault="009A2323" w:rsidP="0021346E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21346E">
              <w:rPr>
                <w:rFonts w:eastAsia="標楷體"/>
                <w:color w:val="000000"/>
              </w:rPr>
              <w:t>集會遊行法第十一條第一款規定違反同法第四條規定者，為不予許可之要件，乃對『主張共產主義或分裂國土』之言論，使主管機關於許可集會、遊行以前，得就人民政治上之言論而為審查，與憲法保障表現自由之意旨有違；同條第二款規定：『有事實足認為有危害國家安全、社會秩序或公共利益之虞者』，第三款規定：『有危害生命、身體、自由或對財物造成重大損壞之虞者』，有欠具體明確，對於在舉行集會、遊行以前，尚無明顯而立即危險之事實狀態，僅憑將來有發生之可能，即由主管機關以此作為集會、遊行准否之依據部分，與憲法保障</w:t>
            </w:r>
            <w:r w:rsidRPr="0021346E">
              <w:rPr>
                <w:rFonts w:eastAsia="標楷體"/>
                <w:color w:val="000000"/>
              </w:rPr>
              <w:t xml:space="preserve"> </w:t>
            </w:r>
            <w:r w:rsidRPr="0021346E">
              <w:rPr>
                <w:rFonts w:eastAsia="標楷體"/>
                <w:color w:val="000000"/>
              </w:rPr>
              <w:t>集會自由之意旨不符，均應自本解釋公布之日起失其效力。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6B897F" w14:textId="71B63FBF" w:rsidR="00601FA2" w:rsidRPr="00221BCE" w:rsidRDefault="009A2323" w:rsidP="00BD3A51">
            <w:pPr>
              <w:spacing w:line="276" w:lineRule="auto"/>
              <w:jc w:val="center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/>
              </w:rPr>
              <w:drawing>
                <wp:inline distT="0" distB="0" distL="0" distR="0" wp14:anchorId="77B86F08" wp14:editId="79886E47">
                  <wp:extent cx="222636" cy="195005"/>
                  <wp:effectExtent l="0" t="0" r="6350" b="0"/>
                  <wp:docPr id="5" name="圖片 5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1C852960" w14:textId="3B022F31" w:rsidR="009A2323" w:rsidRPr="00BF513C" w:rsidRDefault="009A2323" w:rsidP="0021346E">
            <w:pPr>
              <w:rPr>
                <w:rFonts w:eastAsia="標楷體"/>
              </w:rPr>
            </w:pPr>
            <w:r w:rsidRPr="00BF513C">
              <w:rPr>
                <w:rFonts w:eastAsia="標楷體"/>
              </w:rPr>
              <w:t>中華民國憲法釋字</w:t>
            </w:r>
            <w:r w:rsidRPr="00BF513C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445</w:t>
            </w:r>
            <w:r w:rsidRPr="00BF513C">
              <w:rPr>
                <w:rFonts w:eastAsia="標楷體"/>
              </w:rPr>
              <w:t>號解釋文，</w:t>
            </w:r>
          </w:p>
          <w:p w14:paraId="2086870F" w14:textId="3B91180D" w:rsidR="00601FA2" w:rsidRPr="00221BCE" w:rsidRDefault="009A2323" w:rsidP="0021346E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BF513C">
              <w:rPr>
                <w:rFonts w:eastAsia="標楷體"/>
              </w:rPr>
              <w:t>屬公共領域之著作。</w:t>
            </w:r>
          </w:p>
        </w:tc>
      </w:tr>
      <w:tr w:rsidR="009A2323" w:rsidRPr="00221BCE" w14:paraId="6F555487" w14:textId="77777777" w:rsidTr="001707DF">
        <w:trPr>
          <w:jc w:val="center"/>
        </w:trPr>
        <w:tc>
          <w:tcPr>
            <w:tcW w:w="882" w:type="dxa"/>
            <w:shd w:val="clear" w:color="auto" w:fill="auto"/>
            <w:vAlign w:val="center"/>
          </w:tcPr>
          <w:p w14:paraId="5F2A2632" w14:textId="1418DFE7" w:rsidR="009A2323" w:rsidRPr="00AA2781" w:rsidRDefault="009A2323" w:rsidP="00BD3A51">
            <w:pPr>
              <w:spacing w:line="276" w:lineRule="auto"/>
              <w:jc w:val="center"/>
              <w:rPr>
                <w:rFonts w:eastAsia="標楷體"/>
                <w:color w:val="000000" w:themeColor="text1"/>
                <w:sz w:val="32"/>
                <w:szCs w:val="32"/>
              </w:rPr>
            </w:pPr>
            <w:r w:rsidRPr="00AA2781">
              <w:rPr>
                <w:rFonts w:eastAsia="標楷體"/>
                <w:color w:val="000000" w:themeColor="text1"/>
                <w:sz w:val="32"/>
                <w:szCs w:val="32"/>
              </w:rPr>
              <w:t>4-5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6F082720" w14:textId="3798C4F1" w:rsidR="009A2323" w:rsidRPr="00AA2781" w:rsidRDefault="009A2323" w:rsidP="0021346E">
            <w:pPr>
              <w:spacing w:line="276" w:lineRule="auto"/>
              <w:rPr>
                <w:rFonts w:eastAsia="標楷體"/>
                <w:color w:val="000000"/>
              </w:rPr>
            </w:pPr>
            <w:r w:rsidRPr="00AA2781">
              <w:rPr>
                <w:rFonts w:eastAsia="標楷體"/>
              </w:rPr>
              <w:t>集會、遊行不得在左列地區及其週邊範圍舉行。但經主管機關核准者，不在此限：一、總統府、行政院、司法院、考試院、各級法院及總統、副總統官邸。二、國際機場、港口。三、重要軍事設施地區。四、各國駐華使領館、代表機構、國際組織駐華機構及其館長官邸。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6D1E419" w14:textId="0305FA97" w:rsidR="009A2323" w:rsidRPr="00AA2781" w:rsidRDefault="009A2323" w:rsidP="00BD3A51">
            <w:pPr>
              <w:spacing w:line="276" w:lineRule="auto"/>
              <w:jc w:val="center"/>
              <w:rPr>
                <w:rFonts w:eastAsia="標楷體"/>
              </w:rPr>
            </w:pPr>
            <w:r w:rsidRPr="00AA2781">
              <w:rPr>
                <w:rFonts w:eastAsia="標楷體"/>
              </w:rPr>
              <w:drawing>
                <wp:inline distT="0" distB="0" distL="0" distR="0" wp14:anchorId="176B340C" wp14:editId="06B864E4">
                  <wp:extent cx="222636" cy="195005"/>
                  <wp:effectExtent l="0" t="0" r="6350" b="0"/>
                  <wp:docPr id="8" name="圖片 8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794" cy="19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35" w:type="dxa"/>
            <w:shd w:val="clear" w:color="auto" w:fill="auto"/>
            <w:vAlign w:val="center"/>
          </w:tcPr>
          <w:p w14:paraId="5D285518" w14:textId="3246D19D" w:rsidR="009A2323" w:rsidRPr="00AA2781" w:rsidRDefault="009A2323" w:rsidP="0021346E">
            <w:pPr>
              <w:rPr>
                <w:rFonts w:eastAsia="標楷體"/>
              </w:rPr>
            </w:pPr>
            <w:r w:rsidRPr="00AA2781">
              <w:rPr>
                <w:rFonts w:eastAsia="標楷體"/>
              </w:rPr>
              <w:t>集會遊行法第</w:t>
            </w:r>
            <w:r w:rsidRPr="00AA2781">
              <w:rPr>
                <w:rFonts w:eastAsia="標楷體"/>
              </w:rPr>
              <w:t>6</w:t>
            </w:r>
            <w:r w:rsidRPr="00AA2781">
              <w:rPr>
                <w:rFonts w:eastAsia="標楷體"/>
              </w:rPr>
              <w:t>條第</w:t>
            </w:r>
            <w:r w:rsidRPr="00AA2781">
              <w:rPr>
                <w:rFonts w:eastAsia="標楷體"/>
              </w:rPr>
              <w:t>1</w:t>
            </w:r>
            <w:r w:rsidRPr="00AA2781">
              <w:rPr>
                <w:rFonts w:eastAsia="標楷體"/>
              </w:rPr>
              <w:t>項，屬公共領域之著作。</w:t>
            </w:r>
          </w:p>
        </w:tc>
      </w:tr>
    </w:tbl>
    <w:p w14:paraId="0D3CFC98" w14:textId="77777777" w:rsidR="00601FA2" w:rsidRPr="00601FA2" w:rsidRDefault="00601FA2" w:rsidP="00BD3A51">
      <w:pPr>
        <w:spacing w:line="276" w:lineRule="auto"/>
      </w:pPr>
      <w:bookmarkStart w:id="0" w:name="_GoBack"/>
      <w:bookmarkEnd w:id="0"/>
    </w:p>
    <w:sectPr w:rsidR="00601FA2" w:rsidRPr="00601FA2">
      <w:headerReference w:type="default" r:id="rId18"/>
      <w:footerReference w:type="default" r:id="rId1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0110EB" w14:textId="77777777" w:rsidR="00727DC9" w:rsidRDefault="00727DC9" w:rsidP="00202B48">
      <w:r>
        <w:separator/>
      </w:r>
    </w:p>
  </w:endnote>
  <w:endnote w:type="continuationSeparator" w:id="0">
    <w:p w14:paraId="6F88FF60" w14:textId="77777777" w:rsidR="00727DC9" w:rsidRDefault="00727DC9" w:rsidP="00202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41120895"/>
      <w:docPartObj>
        <w:docPartGallery w:val="Page Numbers (Bottom of Page)"/>
        <w:docPartUnique/>
      </w:docPartObj>
    </w:sdtPr>
    <w:sdtEndPr>
      <w:rPr>
        <w:rFonts w:eastAsia="標楷體"/>
      </w:rPr>
    </w:sdtEndPr>
    <w:sdtContent>
      <w:p w14:paraId="1C954EB8" w14:textId="74050CBD" w:rsidR="00C32BB1" w:rsidRPr="0021346E" w:rsidRDefault="0021346E">
        <w:pPr>
          <w:pStyle w:val="a7"/>
          <w:jc w:val="center"/>
          <w:rPr>
            <w:rFonts w:eastAsia="標楷體"/>
          </w:rPr>
        </w:pPr>
        <w:r w:rsidRPr="0021346E">
          <w:rPr>
            <w:rFonts w:eastAsia="標楷體"/>
          </w:rPr>
          <w:t>第</w:t>
        </w:r>
        <w:r w:rsidR="00C32BB1" w:rsidRPr="0021346E">
          <w:rPr>
            <w:rFonts w:eastAsia="標楷體"/>
          </w:rPr>
          <w:fldChar w:fldCharType="begin"/>
        </w:r>
        <w:r w:rsidR="00C32BB1" w:rsidRPr="0021346E">
          <w:rPr>
            <w:rFonts w:eastAsia="標楷體"/>
          </w:rPr>
          <w:instrText>PAGE   \* MERGEFORMAT</w:instrText>
        </w:r>
        <w:r w:rsidR="00C32BB1" w:rsidRPr="0021346E">
          <w:rPr>
            <w:rFonts w:eastAsia="標楷體"/>
          </w:rPr>
          <w:fldChar w:fldCharType="separate"/>
        </w:r>
        <w:r w:rsidR="00AA2781" w:rsidRPr="00AA2781">
          <w:rPr>
            <w:rFonts w:eastAsia="標楷體"/>
            <w:lang w:val="zh-TW"/>
          </w:rPr>
          <w:t>8</w:t>
        </w:r>
        <w:r w:rsidR="00C32BB1" w:rsidRPr="0021346E">
          <w:rPr>
            <w:rFonts w:eastAsia="標楷體"/>
          </w:rPr>
          <w:fldChar w:fldCharType="end"/>
        </w:r>
        <w:r w:rsidRPr="0021346E">
          <w:rPr>
            <w:rFonts w:eastAsia="標楷體"/>
          </w:rPr>
          <w:t>頁，共</w:t>
        </w:r>
        <w:r w:rsidRPr="0021346E">
          <w:rPr>
            <w:rFonts w:eastAsia="標楷體"/>
          </w:rPr>
          <w:t>8</w:t>
        </w:r>
        <w:r w:rsidRPr="0021346E">
          <w:rPr>
            <w:rFonts w:eastAsia="標楷體"/>
          </w:rPr>
          <w:t>頁。</w:t>
        </w:r>
      </w:p>
    </w:sdtContent>
  </w:sdt>
  <w:p w14:paraId="6AC91A33" w14:textId="77777777" w:rsidR="00C32BB1" w:rsidRDefault="00C32BB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A855CA" w14:textId="77777777" w:rsidR="00727DC9" w:rsidRDefault="00727DC9" w:rsidP="00202B48">
      <w:r>
        <w:separator/>
      </w:r>
    </w:p>
  </w:footnote>
  <w:footnote w:type="continuationSeparator" w:id="0">
    <w:p w14:paraId="31B80030" w14:textId="77777777" w:rsidR="00727DC9" w:rsidRDefault="00727DC9" w:rsidP="00202B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58EED3" w14:textId="38ED5566" w:rsidR="00C32BB1" w:rsidRDefault="00C32BB1" w:rsidP="00E07BF7">
    <w:pPr>
      <w:pStyle w:val="a5"/>
      <w:jc w:val="center"/>
    </w:pPr>
    <w:r>
      <w:rPr>
        <w:b/>
        <w:szCs w:val="28"/>
      </w:rPr>
      <w:drawing>
        <wp:inline distT="0" distB="0" distL="0" distR="0" wp14:anchorId="5DB9E676" wp14:editId="3FCB17FB">
          <wp:extent cx="1324610" cy="439420"/>
          <wp:effectExtent l="0" t="0" r="8890" b="0"/>
          <wp:docPr id="1" name="圖片 1" descr="描述: OC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 descr="描述: OC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4610" cy="439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274FA"/>
    <w:multiLevelType w:val="hybridMultilevel"/>
    <w:tmpl w:val="CC009294"/>
    <w:lvl w:ilvl="0" w:tplc="E318B198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7311F1C"/>
    <w:multiLevelType w:val="hybridMultilevel"/>
    <w:tmpl w:val="81C28950"/>
    <w:lvl w:ilvl="0" w:tplc="9F1A342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10117CBF"/>
    <w:multiLevelType w:val="hybridMultilevel"/>
    <w:tmpl w:val="97589648"/>
    <w:lvl w:ilvl="0" w:tplc="EEB07A7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12B72E66"/>
    <w:multiLevelType w:val="hybridMultilevel"/>
    <w:tmpl w:val="DA8E36B4"/>
    <w:lvl w:ilvl="0" w:tplc="F5266AE8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4">
    <w:nsid w:val="15D5362D"/>
    <w:multiLevelType w:val="hybridMultilevel"/>
    <w:tmpl w:val="C406ABA2"/>
    <w:lvl w:ilvl="0" w:tplc="7B528C66">
      <w:start w:val="1"/>
      <w:numFmt w:val="bullet"/>
      <w:lvlText w:val=""/>
      <w:lvlJc w:val="left"/>
      <w:pPr>
        <w:ind w:left="340" w:hanging="3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DB908CF"/>
    <w:multiLevelType w:val="hybridMultilevel"/>
    <w:tmpl w:val="52F25F66"/>
    <w:lvl w:ilvl="0" w:tplc="285813C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1EFE20F6"/>
    <w:multiLevelType w:val="hybridMultilevel"/>
    <w:tmpl w:val="03F4FBD8"/>
    <w:lvl w:ilvl="0" w:tplc="10ACF8D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7">
    <w:nsid w:val="20CE495B"/>
    <w:multiLevelType w:val="hybridMultilevel"/>
    <w:tmpl w:val="F12CA5F6"/>
    <w:lvl w:ilvl="0" w:tplc="64940F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6CC2C4B"/>
    <w:multiLevelType w:val="hybridMultilevel"/>
    <w:tmpl w:val="AC6E821A"/>
    <w:lvl w:ilvl="0" w:tplc="7D26A692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92" w:hanging="480"/>
      </w:pPr>
    </w:lvl>
    <w:lvl w:ilvl="2" w:tplc="0409001B" w:tentative="1">
      <w:start w:val="1"/>
      <w:numFmt w:val="lowerRoman"/>
      <w:lvlText w:val="%3."/>
      <w:lvlJc w:val="right"/>
      <w:pPr>
        <w:ind w:left="2172" w:hanging="480"/>
      </w:pPr>
    </w:lvl>
    <w:lvl w:ilvl="3" w:tplc="0409000F" w:tentative="1">
      <w:start w:val="1"/>
      <w:numFmt w:val="decimal"/>
      <w:lvlText w:val="%4."/>
      <w:lvlJc w:val="left"/>
      <w:pPr>
        <w:ind w:left="265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32" w:hanging="480"/>
      </w:pPr>
    </w:lvl>
    <w:lvl w:ilvl="5" w:tplc="0409001B" w:tentative="1">
      <w:start w:val="1"/>
      <w:numFmt w:val="lowerRoman"/>
      <w:lvlText w:val="%6."/>
      <w:lvlJc w:val="right"/>
      <w:pPr>
        <w:ind w:left="3612" w:hanging="480"/>
      </w:pPr>
    </w:lvl>
    <w:lvl w:ilvl="6" w:tplc="0409000F" w:tentative="1">
      <w:start w:val="1"/>
      <w:numFmt w:val="decimal"/>
      <w:lvlText w:val="%7."/>
      <w:lvlJc w:val="left"/>
      <w:pPr>
        <w:ind w:left="409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72" w:hanging="480"/>
      </w:pPr>
    </w:lvl>
    <w:lvl w:ilvl="8" w:tplc="0409001B" w:tentative="1">
      <w:start w:val="1"/>
      <w:numFmt w:val="lowerRoman"/>
      <w:lvlText w:val="%9."/>
      <w:lvlJc w:val="right"/>
      <w:pPr>
        <w:ind w:left="5052" w:hanging="480"/>
      </w:pPr>
    </w:lvl>
  </w:abstractNum>
  <w:abstractNum w:abstractNumId="9">
    <w:nsid w:val="26EA1626"/>
    <w:multiLevelType w:val="hybridMultilevel"/>
    <w:tmpl w:val="CFE64D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2BB91599"/>
    <w:multiLevelType w:val="hybridMultilevel"/>
    <w:tmpl w:val="7C124198"/>
    <w:lvl w:ilvl="0" w:tplc="86C806DC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>
    <w:nsid w:val="2D443EB0"/>
    <w:multiLevelType w:val="hybridMultilevel"/>
    <w:tmpl w:val="F9D05250"/>
    <w:lvl w:ilvl="0" w:tplc="B5CE52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4F426F"/>
    <w:multiLevelType w:val="hybridMultilevel"/>
    <w:tmpl w:val="227072A6"/>
    <w:lvl w:ilvl="0" w:tplc="2FDA3E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E873F8B"/>
    <w:multiLevelType w:val="hybridMultilevel"/>
    <w:tmpl w:val="BFA0D25C"/>
    <w:lvl w:ilvl="0" w:tplc="95AEC374">
      <w:start w:val="1"/>
      <w:numFmt w:val="taiwaneseCountingThousand"/>
      <w:lvlText w:val="（%1）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2E9243D8"/>
    <w:multiLevelType w:val="hybridMultilevel"/>
    <w:tmpl w:val="F9E2EDAE"/>
    <w:lvl w:ilvl="0" w:tplc="796C89FC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69657E5"/>
    <w:multiLevelType w:val="hybridMultilevel"/>
    <w:tmpl w:val="51325152"/>
    <w:lvl w:ilvl="0" w:tplc="3FECBB8A">
      <w:start w:val="1"/>
      <w:numFmt w:val="taiwaneseCountingThousand"/>
      <w:lvlText w:val="（%1）"/>
      <w:lvlJc w:val="left"/>
      <w:pPr>
        <w:ind w:left="732" w:hanging="7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8B119BF"/>
    <w:multiLevelType w:val="hybridMultilevel"/>
    <w:tmpl w:val="367697E2"/>
    <w:lvl w:ilvl="0" w:tplc="C422C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7">
    <w:nsid w:val="3CC62576"/>
    <w:multiLevelType w:val="hybridMultilevel"/>
    <w:tmpl w:val="ADD8B730"/>
    <w:lvl w:ilvl="0" w:tplc="C3A6472A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>
    <w:nsid w:val="3D7E5788"/>
    <w:multiLevelType w:val="hybridMultilevel"/>
    <w:tmpl w:val="9134E890"/>
    <w:lvl w:ilvl="0" w:tplc="9DF4047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9">
    <w:nsid w:val="3EDF2446"/>
    <w:multiLevelType w:val="hybridMultilevel"/>
    <w:tmpl w:val="48069072"/>
    <w:lvl w:ilvl="0" w:tplc="917A5F08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035600B"/>
    <w:multiLevelType w:val="hybridMultilevel"/>
    <w:tmpl w:val="2E029174"/>
    <w:lvl w:ilvl="0" w:tplc="34FAA67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348665A"/>
    <w:multiLevelType w:val="hybridMultilevel"/>
    <w:tmpl w:val="6CD22CD6"/>
    <w:lvl w:ilvl="0" w:tplc="1C6A6D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5E05A1F"/>
    <w:multiLevelType w:val="hybridMultilevel"/>
    <w:tmpl w:val="AAA4CE68"/>
    <w:lvl w:ilvl="0" w:tplc="023634E6">
      <w:start w:val="1"/>
      <w:numFmt w:val="decimal"/>
      <w:lvlText w:val="%1."/>
      <w:lvlJc w:val="left"/>
      <w:pPr>
        <w:ind w:left="20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40" w:hanging="480"/>
      </w:pPr>
    </w:lvl>
    <w:lvl w:ilvl="2" w:tplc="0409001B" w:tentative="1">
      <w:start w:val="1"/>
      <w:numFmt w:val="lowerRoman"/>
      <w:lvlText w:val="%3."/>
      <w:lvlJc w:val="right"/>
      <w:pPr>
        <w:ind w:left="3120" w:hanging="480"/>
      </w:pPr>
    </w:lvl>
    <w:lvl w:ilvl="3" w:tplc="0409000F" w:tentative="1">
      <w:start w:val="1"/>
      <w:numFmt w:val="decimal"/>
      <w:lvlText w:val="%4."/>
      <w:lvlJc w:val="left"/>
      <w:pPr>
        <w:ind w:left="3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80" w:hanging="480"/>
      </w:pPr>
    </w:lvl>
    <w:lvl w:ilvl="5" w:tplc="0409001B" w:tentative="1">
      <w:start w:val="1"/>
      <w:numFmt w:val="lowerRoman"/>
      <w:lvlText w:val="%6."/>
      <w:lvlJc w:val="right"/>
      <w:pPr>
        <w:ind w:left="4560" w:hanging="480"/>
      </w:pPr>
    </w:lvl>
    <w:lvl w:ilvl="6" w:tplc="0409000F" w:tentative="1">
      <w:start w:val="1"/>
      <w:numFmt w:val="decimal"/>
      <w:lvlText w:val="%7."/>
      <w:lvlJc w:val="left"/>
      <w:pPr>
        <w:ind w:left="5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20" w:hanging="480"/>
      </w:pPr>
    </w:lvl>
    <w:lvl w:ilvl="8" w:tplc="0409001B" w:tentative="1">
      <w:start w:val="1"/>
      <w:numFmt w:val="lowerRoman"/>
      <w:lvlText w:val="%9."/>
      <w:lvlJc w:val="right"/>
      <w:pPr>
        <w:ind w:left="6000" w:hanging="480"/>
      </w:pPr>
    </w:lvl>
  </w:abstractNum>
  <w:abstractNum w:abstractNumId="23">
    <w:nsid w:val="4626729A"/>
    <w:multiLevelType w:val="hybridMultilevel"/>
    <w:tmpl w:val="219E1E38"/>
    <w:lvl w:ilvl="0" w:tplc="CC5462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904666F"/>
    <w:multiLevelType w:val="hybridMultilevel"/>
    <w:tmpl w:val="4D341FA6"/>
    <w:lvl w:ilvl="0" w:tplc="97AC1DC2">
      <w:start w:val="1"/>
      <w:numFmt w:val="japaneseCounting"/>
      <w:lvlText w:val="%1、"/>
      <w:lvlJc w:val="left"/>
      <w:pPr>
        <w:ind w:left="1996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25">
    <w:nsid w:val="49143A9A"/>
    <w:multiLevelType w:val="hybridMultilevel"/>
    <w:tmpl w:val="9B2C5CA4"/>
    <w:lvl w:ilvl="0" w:tplc="16D8DB6E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1C35982"/>
    <w:multiLevelType w:val="hybridMultilevel"/>
    <w:tmpl w:val="0F2A36CE"/>
    <w:lvl w:ilvl="0" w:tplc="963E627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5CB01865"/>
    <w:multiLevelType w:val="hybridMultilevel"/>
    <w:tmpl w:val="687A9A74"/>
    <w:lvl w:ilvl="0" w:tplc="AAC49F28">
      <w:start w:val="1"/>
      <w:numFmt w:val="lowerLetter"/>
      <w:lvlText w:val="(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8">
    <w:nsid w:val="5D9905C8"/>
    <w:multiLevelType w:val="hybridMultilevel"/>
    <w:tmpl w:val="B084629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5E4A194F"/>
    <w:multiLevelType w:val="hybridMultilevel"/>
    <w:tmpl w:val="9C502232"/>
    <w:lvl w:ilvl="0" w:tplc="C422C40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600868C4"/>
    <w:multiLevelType w:val="hybridMultilevel"/>
    <w:tmpl w:val="67023EC2"/>
    <w:lvl w:ilvl="0" w:tplc="C422C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1">
    <w:nsid w:val="710D47B2"/>
    <w:multiLevelType w:val="hybridMultilevel"/>
    <w:tmpl w:val="7CC899EA"/>
    <w:lvl w:ilvl="0" w:tplc="C422C40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32">
    <w:nsid w:val="72E87D1C"/>
    <w:multiLevelType w:val="hybridMultilevel"/>
    <w:tmpl w:val="3642D612"/>
    <w:lvl w:ilvl="0" w:tplc="09DEE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3">
    <w:nsid w:val="79144180"/>
    <w:multiLevelType w:val="hybridMultilevel"/>
    <w:tmpl w:val="DB421622"/>
    <w:lvl w:ilvl="0" w:tplc="1D8C0262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BA11456"/>
    <w:multiLevelType w:val="hybridMultilevel"/>
    <w:tmpl w:val="BD4CA38C"/>
    <w:lvl w:ilvl="0" w:tplc="2AE4E520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5">
    <w:nsid w:val="7D713897"/>
    <w:multiLevelType w:val="hybridMultilevel"/>
    <w:tmpl w:val="33C459D2"/>
    <w:lvl w:ilvl="0" w:tplc="5A4ED576">
      <w:start w:val="1"/>
      <w:numFmt w:val="upperLetter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1"/>
  </w:num>
  <w:num w:numId="2">
    <w:abstractNumId w:val="5"/>
  </w:num>
  <w:num w:numId="3">
    <w:abstractNumId w:val="17"/>
  </w:num>
  <w:num w:numId="4">
    <w:abstractNumId w:val="34"/>
  </w:num>
  <w:num w:numId="5">
    <w:abstractNumId w:val="2"/>
  </w:num>
  <w:num w:numId="6">
    <w:abstractNumId w:val="4"/>
  </w:num>
  <w:num w:numId="7">
    <w:abstractNumId w:val="33"/>
  </w:num>
  <w:num w:numId="8">
    <w:abstractNumId w:val="19"/>
  </w:num>
  <w:num w:numId="9">
    <w:abstractNumId w:val="32"/>
  </w:num>
  <w:num w:numId="10">
    <w:abstractNumId w:val="14"/>
  </w:num>
  <w:num w:numId="11">
    <w:abstractNumId w:val="0"/>
  </w:num>
  <w:num w:numId="12">
    <w:abstractNumId w:val="15"/>
  </w:num>
  <w:num w:numId="13">
    <w:abstractNumId w:val="8"/>
  </w:num>
  <w:num w:numId="14">
    <w:abstractNumId w:val="13"/>
  </w:num>
  <w:num w:numId="15">
    <w:abstractNumId w:val="22"/>
  </w:num>
  <w:num w:numId="16">
    <w:abstractNumId w:val="10"/>
  </w:num>
  <w:num w:numId="17">
    <w:abstractNumId w:val="11"/>
  </w:num>
  <w:num w:numId="18">
    <w:abstractNumId w:val="12"/>
  </w:num>
  <w:num w:numId="19">
    <w:abstractNumId w:val="30"/>
  </w:num>
  <w:num w:numId="20">
    <w:abstractNumId w:val="31"/>
  </w:num>
  <w:num w:numId="21">
    <w:abstractNumId w:val="23"/>
  </w:num>
  <w:num w:numId="22">
    <w:abstractNumId w:val="16"/>
  </w:num>
  <w:num w:numId="23">
    <w:abstractNumId w:val="21"/>
  </w:num>
  <w:num w:numId="24">
    <w:abstractNumId w:val="29"/>
  </w:num>
  <w:num w:numId="25">
    <w:abstractNumId w:val="35"/>
  </w:num>
  <w:num w:numId="26">
    <w:abstractNumId w:val="20"/>
  </w:num>
  <w:num w:numId="27">
    <w:abstractNumId w:val="26"/>
  </w:num>
  <w:num w:numId="28">
    <w:abstractNumId w:val="25"/>
  </w:num>
  <w:num w:numId="29">
    <w:abstractNumId w:val="28"/>
  </w:num>
  <w:num w:numId="30">
    <w:abstractNumId w:val="9"/>
  </w:num>
  <w:num w:numId="31">
    <w:abstractNumId w:val="3"/>
  </w:num>
  <w:num w:numId="32">
    <w:abstractNumId w:val="18"/>
  </w:num>
  <w:num w:numId="33">
    <w:abstractNumId w:val="27"/>
  </w:num>
  <w:num w:numId="34">
    <w:abstractNumId w:val="6"/>
  </w:num>
  <w:num w:numId="35">
    <w:abstractNumId w:val="24"/>
  </w:num>
  <w:num w:numId="36">
    <w:abstractNumId w:val="7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118"/>
    <w:rsid w:val="00014E48"/>
    <w:rsid w:val="00024219"/>
    <w:rsid w:val="00027BCA"/>
    <w:rsid w:val="000515FE"/>
    <w:rsid w:val="0005787F"/>
    <w:rsid w:val="000606C2"/>
    <w:rsid w:val="0006183F"/>
    <w:rsid w:val="0009033E"/>
    <w:rsid w:val="000A0FBB"/>
    <w:rsid w:val="000F5080"/>
    <w:rsid w:val="00107D53"/>
    <w:rsid w:val="00113091"/>
    <w:rsid w:val="001429F1"/>
    <w:rsid w:val="00147664"/>
    <w:rsid w:val="00154F23"/>
    <w:rsid w:val="0016450A"/>
    <w:rsid w:val="001707DF"/>
    <w:rsid w:val="001C08E5"/>
    <w:rsid w:val="001C37DC"/>
    <w:rsid w:val="001E4871"/>
    <w:rsid w:val="00202B48"/>
    <w:rsid w:val="00204B3C"/>
    <w:rsid w:val="0021346E"/>
    <w:rsid w:val="0021615A"/>
    <w:rsid w:val="002169DE"/>
    <w:rsid w:val="002600D0"/>
    <w:rsid w:val="0027693E"/>
    <w:rsid w:val="00283CEF"/>
    <w:rsid w:val="002939D9"/>
    <w:rsid w:val="002D353E"/>
    <w:rsid w:val="002E01BC"/>
    <w:rsid w:val="002E4013"/>
    <w:rsid w:val="0030413B"/>
    <w:rsid w:val="003216D0"/>
    <w:rsid w:val="0032733D"/>
    <w:rsid w:val="00365968"/>
    <w:rsid w:val="00370620"/>
    <w:rsid w:val="00387114"/>
    <w:rsid w:val="003B57CD"/>
    <w:rsid w:val="003D6B63"/>
    <w:rsid w:val="003F29E1"/>
    <w:rsid w:val="00415574"/>
    <w:rsid w:val="004308B7"/>
    <w:rsid w:val="0043778A"/>
    <w:rsid w:val="00474087"/>
    <w:rsid w:val="00483B29"/>
    <w:rsid w:val="00491F4C"/>
    <w:rsid w:val="004A0FB0"/>
    <w:rsid w:val="004B0FE3"/>
    <w:rsid w:val="004C0B26"/>
    <w:rsid w:val="004C2315"/>
    <w:rsid w:val="004E02B3"/>
    <w:rsid w:val="004E5A67"/>
    <w:rsid w:val="004E7251"/>
    <w:rsid w:val="00506D23"/>
    <w:rsid w:val="00510A15"/>
    <w:rsid w:val="00511BB6"/>
    <w:rsid w:val="00536CC0"/>
    <w:rsid w:val="00572AC7"/>
    <w:rsid w:val="0059021F"/>
    <w:rsid w:val="00591916"/>
    <w:rsid w:val="00591C52"/>
    <w:rsid w:val="005C3DD3"/>
    <w:rsid w:val="005D519E"/>
    <w:rsid w:val="005E298C"/>
    <w:rsid w:val="005F4A7B"/>
    <w:rsid w:val="00601FA2"/>
    <w:rsid w:val="006343AA"/>
    <w:rsid w:val="0063637D"/>
    <w:rsid w:val="006550A1"/>
    <w:rsid w:val="006920A7"/>
    <w:rsid w:val="006A2175"/>
    <w:rsid w:val="006B251D"/>
    <w:rsid w:val="006D1D07"/>
    <w:rsid w:val="006D3ADE"/>
    <w:rsid w:val="006D67D8"/>
    <w:rsid w:val="006F114F"/>
    <w:rsid w:val="006F6602"/>
    <w:rsid w:val="00727DC9"/>
    <w:rsid w:val="00743571"/>
    <w:rsid w:val="007C2118"/>
    <w:rsid w:val="007C5AB7"/>
    <w:rsid w:val="00816065"/>
    <w:rsid w:val="0084389F"/>
    <w:rsid w:val="008663E9"/>
    <w:rsid w:val="00882150"/>
    <w:rsid w:val="00882E72"/>
    <w:rsid w:val="00895FEF"/>
    <w:rsid w:val="008A55C7"/>
    <w:rsid w:val="008D2DAE"/>
    <w:rsid w:val="009233E3"/>
    <w:rsid w:val="00931084"/>
    <w:rsid w:val="00943073"/>
    <w:rsid w:val="00963A31"/>
    <w:rsid w:val="00965CD4"/>
    <w:rsid w:val="00986EDB"/>
    <w:rsid w:val="009A2323"/>
    <w:rsid w:val="009B1FFF"/>
    <w:rsid w:val="009C04D6"/>
    <w:rsid w:val="009C0907"/>
    <w:rsid w:val="009F1603"/>
    <w:rsid w:val="00A068BF"/>
    <w:rsid w:val="00A7420B"/>
    <w:rsid w:val="00A762DE"/>
    <w:rsid w:val="00A77D4D"/>
    <w:rsid w:val="00AA2781"/>
    <w:rsid w:val="00AB1036"/>
    <w:rsid w:val="00AC22F0"/>
    <w:rsid w:val="00AE08FE"/>
    <w:rsid w:val="00AF0FFE"/>
    <w:rsid w:val="00B56C58"/>
    <w:rsid w:val="00B96768"/>
    <w:rsid w:val="00BA0F3A"/>
    <w:rsid w:val="00BC6A45"/>
    <w:rsid w:val="00BD3A51"/>
    <w:rsid w:val="00BE08D0"/>
    <w:rsid w:val="00BF12A0"/>
    <w:rsid w:val="00C0227E"/>
    <w:rsid w:val="00C32BB1"/>
    <w:rsid w:val="00C37DE8"/>
    <w:rsid w:val="00C40712"/>
    <w:rsid w:val="00C41F6A"/>
    <w:rsid w:val="00C51EFE"/>
    <w:rsid w:val="00C73CE8"/>
    <w:rsid w:val="00C96C29"/>
    <w:rsid w:val="00CB7A72"/>
    <w:rsid w:val="00CE33D2"/>
    <w:rsid w:val="00CE7C5D"/>
    <w:rsid w:val="00D06866"/>
    <w:rsid w:val="00D33C49"/>
    <w:rsid w:val="00D378CF"/>
    <w:rsid w:val="00D424E3"/>
    <w:rsid w:val="00D43E9A"/>
    <w:rsid w:val="00D43FEA"/>
    <w:rsid w:val="00D6271F"/>
    <w:rsid w:val="00D67179"/>
    <w:rsid w:val="00DE1D94"/>
    <w:rsid w:val="00DE32CA"/>
    <w:rsid w:val="00E07BF7"/>
    <w:rsid w:val="00E4289F"/>
    <w:rsid w:val="00E50D9D"/>
    <w:rsid w:val="00E52F90"/>
    <w:rsid w:val="00E5464A"/>
    <w:rsid w:val="00E64887"/>
    <w:rsid w:val="00E83522"/>
    <w:rsid w:val="00EE704C"/>
    <w:rsid w:val="00EF43B8"/>
    <w:rsid w:val="00F0254A"/>
    <w:rsid w:val="00F05DF8"/>
    <w:rsid w:val="00F2375E"/>
    <w:rsid w:val="00F25B39"/>
    <w:rsid w:val="00F26DE4"/>
    <w:rsid w:val="00F2771B"/>
    <w:rsid w:val="00F331AA"/>
    <w:rsid w:val="00F36A38"/>
    <w:rsid w:val="00F54930"/>
    <w:rsid w:val="00F70F48"/>
    <w:rsid w:val="00F76EF3"/>
    <w:rsid w:val="00F95292"/>
    <w:rsid w:val="00FA2CBC"/>
    <w:rsid w:val="00FC2974"/>
    <w:rsid w:val="00FE330C"/>
    <w:rsid w:val="00FE3B63"/>
    <w:rsid w:val="00FE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4C8D73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C0"/>
    <w:pPr>
      <w:ind w:leftChars="200" w:left="480"/>
    </w:pPr>
  </w:style>
  <w:style w:type="character" w:styleId="a4">
    <w:name w:val="Hyperlink"/>
    <w:basedOn w:val="a0"/>
    <w:uiPriority w:val="99"/>
    <w:unhideWhenUsed/>
    <w:rsid w:val="00536CC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02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2B48"/>
    <w:rPr>
      <w:noProof/>
    </w:rPr>
  </w:style>
  <w:style w:type="paragraph" w:styleId="a7">
    <w:name w:val="footer"/>
    <w:basedOn w:val="a"/>
    <w:link w:val="a8"/>
    <w:uiPriority w:val="99"/>
    <w:unhideWhenUsed/>
    <w:rsid w:val="00202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2B48"/>
    <w:rPr>
      <w:noProof/>
    </w:rPr>
  </w:style>
  <w:style w:type="paragraph" w:styleId="a9">
    <w:name w:val="Balloon Text"/>
    <w:basedOn w:val="a"/>
    <w:link w:val="aa"/>
    <w:uiPriority w:val="99"/>
    <w:semiHidden/>
    <w:unhideWhenUsed/>
    <w:rsid w:val="00202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2B48"/>
    <w:rPr>
      <w:rFonts w:asciiTheme="majorHAnsi" w:eastAsiaTheme="majorEastAsia" w:hAnsiTheme="majorHAnsi" w:cstheme="majorBidi"/>
      <w:noProof/>
      <w:sz w:val="18"/>
      <w:szCs w:val="18"/>
    </w:rPr>
  </w:style>
  <w:style w:type="table" w:styleId="ab">
    <w:name w:val="Table Grid"/>
    <w:basedOn w:val="a1"/>
    <w:uiPriority w:val="59"/>
    <w:rsid w:val="00F33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F2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noProof w:val="0"/>
    </w:rPr>
  </w:style>
  <w:style w:type="character" w:customStyle="1" w:styleId="HTML0">
    <w:name w:val="HTML 預設格式 字元"/>
    <w:basedOn w:val="a0"/>
    <w:link w:val="HTML"/>
    <w:uiPriority w:val="99"/>
    <w:rsid w:val="003F29E1"/>
    <w:rPr>
      <w:rFonts w:ascii="細明體" w:eastAsia="細明體" w:hAnsi="細明體" w:cs="細明體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noProof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6CC0"/>
    <w:pPr>
      <w:ind w:leftChars="200" w:left="480"/>
    </w:pPr>
  </w:style>
  <w:style w:type="character" w:styleId="a4">
    <w:name w:val="Hyperlink"/>
    <w:basedOn w:val="a0"/>
    <w:uiPriority w:val="99"/>
    <w:unhideWhenUsed/>
    <w:rsid w:val="00536CC0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02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02B48"/>
    <w:rPr>
      <w:noProof/>
    </w:rPr>
  </w:style>
  <w:style w:type="paragraph" w:styleId="a7">
    <w:name w:val="footer"/>
    <w:basedOn w:val="a"/>
    <w:link w:val="a8"/>
    <w:uiPriority w:val="99"/>
    <w:unhideWhenUsed/>
    <w:rsid w:val="00202B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02B48"/>
    <w:rPr>
      <w:noProof/>
    </w:rPr>
  </w:style>
  <w:style w:type="paragraph" w:styleId="a9">
    <w:name w:val="Balloon Text"/>
    <w:basedOn w:val="a"/>
    <w:link w:val="aa"/>
    <w:uiPriority w:val="99"/>
    <w:semiHidden/>
    <w:unhideWhenUsed/>
    <w:rsid w:val="00202B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02B48"/>
    <w:rPr>
      <w:rFonts w:asciiTheme="majorHAnsi" w:eastAsiaTheme="majorEastAsia" w:hAnsiTheme="majorHAnsi" w:cstheme="majorBidi"/>
      <w:noProof/>
      <w:sz w:val="18"/>
      <w:szCs w:val="18"/>
    </w:rPr>
  </w:style>
  <w:style w:type="table" w:styleId="ab">
    <w:name w:val="Table Grid"/>
    <w:basedOn w:val="a1"/>
    <w:uiPriority w:val="59"/>
    <w:rsid w:val="00F331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uiPriority w:val="99"/>
    <w:unhideWhenUsed/>
    <w:rsid w:val="003F29E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noProof w:val="0"/>
    </w:rPr>
  </w:style>
  <w:style w:type="character" w:customStyle="1" w:styleId="HTML0">
    <w:name w:val="HTML 預設格式 字元"/>
    <w:basedOn w:val="a0"/>
    <w:link w:val="HTML"/>
    <w:uiPriority w:val="99"/>
    <w:rsid w:val="003F29E1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7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reativecommons.org/licenses/by-nc-sa/3.0/tw/deed.zh_TW" TargetMode="External"/><Relationship Id="rId13" Type="http://schemas.openxmlformats.org/officeDocument/2006/relationships/hyperlink" Target="http://creativecommons.org/licenses/by-nc-sa/3.0/tw/deed.zh_TW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creativecommons.org/licenses/by-nc-sa/3.0/tw/deed.zh_TW" TargetMode="External"/><Relationship Id="rId17" Type="http://schemas.openxmlformats.org/officeDocument/2006/relationships/hyperlink" Target="http://www.judicial.gov.tw/constitutionalcourt/p03_01.asp?expno=445" TargetMode="Externa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creativecommons.org/licenses/by-nc-sa/3.0/tw/deed.zh_TW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ocw.aca.ntu.edu.tw/ntu-ocw/index.php/ocw/copyright_declaration" TargetMode="External"/><Relationship Id="rId10" Type="http://schemas.openxmlformats.org/officeDocument/2006/relationships/hyperlink" Target="http://creativecommons.org/licenses/by-nc-sa/3.0/tw/deed.zh_TW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://creativecommons.org/licenses/by-nc-sa/3.0/tw/deed.zh_T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731</Words>
  <Characters>4170</Characters>
  <Application>Microsoft Office Word</Application>
  <DocSecurity>0</DocSecurity>
  <Lines>34</Lines>
  <Paragraphs>9</Paragraphs>
  <ScaleCrop>false</ScaleCrop>
  <Company>SYNNEX</Company>
  <LinksUpToDate>false</LinksUpToDate>
  <CharactersWithSpaces>4892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基本人權概論</dc:title>
  <dc:creator>CHEN</dc:creator>
  <cp:lastModifiedBy>User</cp:lastModifiedBy>
  <cp:revision>8</cp:revision>
  <cp:lastPrinted>2011-06-11T01:48:00Z</cp:lastPrinted>
  <dcterms:created xsi:type="dcterms:W3CDTF">2013-06-02T05:43:00Z</dcterms:created>
  <dcterms:modified xsi:type="dcterms:W3CDTF">2013-07-15T02:08:00Z</dcterms:modified>
</cp:coreProperties>
</file>