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0A9211" w14:textId="77777777" w:rsidR="00641065" w:rsidRPr="007155B6" w:rsidRDefault="00641065" w:rsidP="00641065">
      <w:pPr>
        <w:widowControl/>
        <w:jc w:val="center"/>
        <w:rPr>
          <w:rFonts w:ascii="Times New Roman" w:hAnsi="Times New Roman" w:cs="Times New Roman"/>
          <w:b/>
          <w:bCs/>
          <w:kern w:val="0"/>
          <w:sz w:val="32"/>
        </w:rPr>
      </w:pPr>
      <w:bookmarkStart w:id="0" w:name="_GoBack"/>
      <w:bookmarkEnd w:id="0"/>
    </w:p>
    <w:p w14:paraId="06927078" w14:textId="77777777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3AF15A5A" w14:textId="77777777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5823EF5B" w14:textId="77777777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75A26CE4" w14:textId="77777777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73386A2D" w14:textId="77777777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36"/>
          <w:szCs w:val="28"/>
        </w:rPr>
      </w:pPr>
    </w:p>
    <w:p w14:paraId="564E2A38" w14:textId="02CF6F29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56"/>
          <w:szCs w:val="28"/>
        </w:rPr>
      </w:pPr>
      <w:r w:rsidRPr="007155B6">
        <w:rPr>
          <w:rFonts w:ascii="Times New Roman" w:eastAsia="標楷體" w:hAnsi="Times New Roman" w:cs="Times New Roman"/>
          <w:b/>
          <w:sz w:val="56"/>
          <w:szCs w:val="28"/>
        </w:rPr>
        <w:t>中華民國憲法與政府</w:t>
      </w:r>
    </w:p>
    <w:p w14:paraId="0FB69983" w14:textId="5A83CBAC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48"/>
          <w:szCs w:val="36"/>
        </w:rPr>
      </w:pPr>
      <w:r w:rsidRPr="007155B6">
        <w:rPr>
          <w:rFonts w:ascii="Times New Roman" w:eastAsia="標楷體" w:hAnsi="Times New Roman" w:cs="Times New Roman"/>
          <w:b/>
          <w:sz w:val="48"/>
          <w:szCs w:val="36"/>
        </w:rPr>
        <w:t>第</w:t>
      </w:r>
      <w:r w:rsidRPr="007155B6">
        <w:rPr>
          <w:rFonts w:ascii="Times New Roman" w:eastAsia="標楷體" w:hAnsi="Times New Roman" w:cs="Times New Roman"/>
          <w:b/>
          <w:sz w:val="48"/>
          <w:szCs w:val="36"/>
        </w:rPr>
        <w:t>18</w:t>
      </w:r>
      <w:r w:rsidRPr="007155B6">
        <w:rPr>
          <w:rFonts w:ascii="Times New Roman" w:eastAsia="標楷體" w:hAnsi="Times New Roman" w:cs="Times New Roman"/>
          <w:b/>
          <w:sz w:val="48"/>
          <w:szCs w:val="36"/>
        </w:rPr>
        <w:t>單元</w:t>
      </w:r>
      <w:r w:rsidRPr="007155B6">
        <w:rPr>
          <w:rFonts w:ascii="Times New Roman" w:eastAsia="標楷體" w:hAnsi="Times New Roman" w:cs="Times New Roman"/>
          <w:b/>
          <w:sz w:val="48"/>
          <w:szCs w:val="36"/>
        </w:rPr>
        <w:t xml:space="preserve"> </w:t>
      </w:r>
      <w:r w:rsidRPr="007155B6">
        <w:rPr>
          <w:rFonts w:ascii="Times New Roman" w:eastAsia="標楷體" w:hAnsi="Times New Roman" w:cs="Times New Roman"/>
          <w:b/>
          <w:bCs/>
          <w:sz w:val="48"/>
          <w:szCs w:val="36"/>
        </w:rPr>
        <w:t>人權之限制與審查步驟</w:t>
      </w:r>
      <w:r w:rsidR="0026128D">
        <w:rPr>
          <w:rFonts w:ascii="Times New Roman" w:eastAsia="標楷體" w:hAnsi="Times New Roman" w:cs="Times New Roman" w:hint="eastAsia"/>
          <w:b/>
          <w:bCs/>
          <w:sz w:val="48"/>
          <w:szCs w:val="36"/>
        </w:rPr>
        <w:t xml:space="preserve"> (</w:t>
      </w:r>
      <w:r w:rsidR="0026128D">
        <w:rPr>
          <w:rFonts w:ascii="Times New Roman" w:eastAsia="標楷體" w:hAnsi="Times New Roman" w:cs="Times New Roman" w:hint="eastAsia"/>
          <w:b/>
          <w:bCs/>
          <w:sz w:val="48"/>
          <w:szCs w:val="36"/>
        </w:rPr>
        <w:t>一</w:t>
      </w:r>
      <w:r w:rsidR="0026128D">
        <w:rPr>
          <w:rFonts w:ascii="Times New Roman" w:eastAsia="標楷體" w:hAnsi="Times New Roman" w:cs="Times New Roman" w:hint="eastAsia"/>
          <w:b/>
          <w:bCs/>
          <w:sz w:val="48"/>
          <w:szCs w:val="36"/>
        </w:rPr>
        <w:t>)</w:t>
      </w:r>
    </w:p>
    <w:p w14:paraId="6B2BF108" w14:textId="77777777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</w:p>
    <w:p w14:paraId="0FCAB3D3" w14:textId="77777777" w:rsidR="00641065" w:rsidRPr="007155B6" w:rsidRDefault="00641065" w:rsidP="00641065">
      <w:pPr>
        <w:widowControl/>
        <w:jc w:val="center"/>
        <w:rPr>
          <w:rFonts w:ascii="Times New Roman" w:eastAsia="標楷體" w:hAnsi="Times New Roman" w:cs="Times New Roman"/>
          <w:b/>
          <w:sz w:val="32"/>
          <w:szCs w:val="36"/>
        </w:rPr>
      </w:pPr>
      <w:r w:rsidRPr="007155B6">
        <w:rPr>
          <w:rFonts w:ascii="Times New Roman" w:eastAsia="標楷體" w:hAnsi="Times New Roman" w:cs="Times New Roman"/>
          <w:b/>
          <w:sz w:val="32"/>
          <w:szCs w:val="36"/>
        </w:rPr>
        <w:t>授課教師：陳淳文</w:t>
      </w:r>
      <w:r w:rsidRPr="007155B6">
        <w:rPr>
          <w:rFonts w:ascii="Times New Roman" w:eastAsia="標楷體" w:hAnsi="Times New Roman" w:cs="Times New Roman"/>
          <w:b/>
          <w:sz w:val="32"/>
          <w:szCs w:val="36"/>
        </w:rPr>
        <w:t xml:space="preserve"> </w:t>
      </w:r>
      <w:r w:rsidRPr="007155B6">
        <w:rPr>
          <w:rFonts w:ascii="Times New Roman" w:eastAsia="標楷體" w:hAnsi="Times New Roman" w:cs="Times New Roman"/>
          <w:b/>
          <w:sz w:val="32"/>
          <w:szCs w:val="36"/>
        </w:rPr>
        <w:t>教授</w:t>
      </w:r>
    </w:p>
    <w:p w14:paraId="6E615920" w14:textId="77777777" w:rsidR="00641065" w:rsidRPr="007155B6" w:rsidRDefault="00641065" w:rsidP="00641065">
      <w:pPr>
        <w:widowControl/>
        <w:rPr>
          <w:rFonts w:ascii="Times New Roman" w:hAnsi="Times New Roman" w:cs="Times New Roman"/>
          <w:b/>
          <w:szCs w:val="28"/>
        </w:rPr>
      </w:pPr>
    </w:p>
    <w:p w14:paraId="27A518A9" w14:textId="77777777" w:rsidR="00641065" w:rsidRPr="007155B6" w:rsidRDefault="00641065" w:rsidP="00641065">
      <w:pPr>
        <w:widowControl/>
        <w:rPr>
          <w:rFonts w:ascii="Times New Roman" w:hAnsi="Times New Roman" w:cs="Times New Roman"/>
          <w:b/>
          <w:szCs w:val="28"/>
        </w:rPr>
      </w:pPr>
    </w:p>
    <w:p w14:paraId="03AFE4CA" w14:textId="77777777" w:rsidR="00641065" w:rsidRPr="007155B6" w:rsidRDefault="00641065" w:rsidP="00641065">
      <w:pPr>
        <w:widowControl/>
        <w:rPr>
          <w:rFonts w:ascii="Times New Roman" w:hAnsi="Times New Roman" w:cs="Times New Roman"/>
          <w:b/>
          <w:szCs w:val="28"/>
        </w:rPr>
      </w:pPr>
    </w:p>
    <w:p w14:paraId="0DE8C140" w14:textId="77777777" w:rsidR="00641065" w:rsidRPr="007155B6" w:rsidRDefault="00641065" w:rsidP="00641065">
      <w:pPr>
        <w:widowControl/>
        <w:rPr>
          <w:rFonts w:ascii="Times New Roman" w:hAnsi="Times New Roman" w:cs="Times New Roman"/>
          <w:b/>
          <w:szCs w:val="28"/>
        </w:rPr>
      </w:pPr>
      <w:r w:rsidRPr="007155B6">
        <w:rPr>
          <w:rFonts w:ascii="Times New Roman" w:hAnsi="Times New Roman" w:cs="Times New Roman"/>
          <w:b/>
          <w:szCs w:val="28"/>
        </w:rPr>
        <w:t xml:space="preserve">                                              </w:t>
      </w:r>
    </w:p>
    <w:p w14:paraId="354A59A4" w14:textId="77777777" w:rsidR="00641065" w:rsidRPr="007155B6" w:rsidRDefault="00641065" w:rsidP="00641065">
      <w:pPr>
        <w:widowControl/>
        <w:rPr>
          <w:rFonts w:ascii="Times New Roman" w:hAnsi="Times New Roman" w:cs="Times New Roman"/>
          <w:b/>
          <w:szCs w:val="28"/>
        </w:rPr>
      </w:pPr>
    </w:p>
    <w:p w14:paraId="005DB48F" w14:textId="77777777" w:rsidR="00641065" w:rsidRPr="007155B6" w:rsidRDefault="00641065" w:rsidP="00641065">
      <w:pPr>
        <w:widowControl/>
        <w:rPr>
          <w:rFonts w:ascii="Times New Roman" w:hAnsi="Times New Roman" w:cs="Times New Roman"/>
          <w:b/>
          <w:szCs w:val="28"/>
        </w:rPr>
      </w:pPr>
    </w:p>
    <w:p w14:paraId="25E48C78" w14:textId="636DB541" w:rsidR="00641065" w:rsidRPr="007155B6" w:rsidRDefault="00641065" w:rsidP="00641065">
      <w:pPr>
        <w:jc w:val="center"/>
        <w:rPr>
          <w:rFonts w:ascii="Times New Roman" w:eastAsia="標楷體" w:hAnsi="Times New Roman" w:cs="Times New Roman"/>
          <w:b/>
          <w:bCs/>
        </w:rPr>
      </w:pPr>
      <w:r w:rsidRPr="007155B6">
        <w:rPr>
          <w:rFonts w:ascii="Times New Roman" w:hAnsi="Times New Roman" w:cs="Times New Roman"/>
          <w:b/>
          <w:noProof/>
          <w:szCs w:val="28"/>
        </w:rPr>
        <w:drawing>
          <wp:inline distT="0" distB="0" distL="0" distR="0" wp14:anchorId="59AC9CDC" wp14:editId="2FC63F0D">
            <wp:extent cx="723900" cy="254000"/>
            <wp:effectExtent l="0" t="0" r="0" b="0"/>
            <wp:docPr id="2" name="圖片 2" descr="描述: 描述: \\140.112.59.229\資源平台\資源平台\版權\版權ICON與範例\Creative Commens台灣2.5\icon_by-nc-sa.tif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\\140.112.59.229\資源平台\資源平台\版權\版權ICON與範例\Creative Commens台灣2.5\icon_by-nc-sa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gramStart"/>
      <w:r w:rsidRPr="007155B6">
        <w:rPr>
          <w:rFonts w:ascii="Times New Roman" w:eastAsia="標楷體" w:hAnsi="Times New Roman" w:cs="Times New Roman"/>
          <w:b/>
          <w:bCs/>
        </w:rPr>
        <w:t>【</w:t>
      </w:r>
      <w:proofErr w:type="gramEnd"/>
      <w:r w:rsidRPr="007155B6">
        <w:rPr>
          <w:rFonts w:ascii="Times New Roman" w:eastAsia="標楷體" w:hAnsi="Times New Roman" w:cs="Times New Roman"/>
          <w:b/>
          <w:bCs/>
        </w:rPr>
        <w:t>本著作除另有註明外，採取</w:t>
      </w:r>
    </w:p>
    <w:p w14:paraId="4BEDAC1D" w14:textId="0324CBA7" w:rsidR="00641065" w:rsidRPr="007155B6" w:rsidRDefault="00C82BEF" w:rsidP="00641065">
      <w:pPr>
        <w:jc w:val="center"/>
        <w:rPr>
          <w:rFonts w:ascii="Times New Roman" w:eastAsia="標楷體" w:hAnsi="Times New Roman" w:cs="Times New Roman"/>
          <w:b/>
        </w:rPr>
      </w:pPr>
      <w:hyperlink r:id="rId10" w:history="1">
        <w:r w:rsidR="00641065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創用</w:t>
        </w:r>
      </w:hyperlink>
      <w:hyperlink r:id="rId11" w:history="1">
        <w:r w:rsidR="00641065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CC</w:t>
        </w:r>
      </w:hyperlink>
      <w:hyperlink r:id="rId12" w:history="1">
        <w:r w:rsidR="007155B6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「姓名</w:t>
        </w:r>
        <w:proofErr w:type="gramStart"/>
        <w:r w:rsidR="007155B6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標示－非商業性</w:t>
        </w:r>
        <w:proofErr w:type="gramEnd"/>
        <w:r w:rsidR="007155B6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－相同方式分享」臺</w:t>
        </w:r>
        <w:r w:rsidR="00641065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灣</w:t>
        </w:r>
      </w:hyperlink>
      <w:hyperlink r:id="rId13" w:history="1">
        <w:r w:rsidR="00641065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3.0</w:t>
        </w:r>
      </w:hyperlink>
      <w:hyperlink r:id="rId14" w:history="1">
        <w:r w:rsidR="00641065" w:rsidRPr="007155B6">
          <w:rPr>
            <w:rFonts w:ascii="Times New Roman" w:eastAsia="標楷體" w:hAnsi="Times New Roman" w:cs="Times New Roman"/>
            <w:b/>
            <w:bCs/>
            <w:color w:val="0000FF"/>
            <w:u w:val="single"/>
          </w:rPr>
          <w:t>版</w:t>
        </w:r>
      </w:hyperlink>
      <w:r w:rsidR="00641065" w:rsidRPr="007155B6">
        <w:rPr>
          <w:rFonts w:ascii="Times New Roman" w:eastAsia="標楷體" w:hAnsi="Times New Roman" w:cs="Times New Roman"/>
          <w:b/>
          <w:bCs/>
        </w:rPr>
        <w:t>授權釋出</w:t>
      </w:r>
      <w:proofErr w:type="gramStart"/>
      <w:r w:rsidR="00641065" w:rsidRPr="007155B6">
        <w:rPr>
          <w:rFonts w:ascii="Times New Roman" w:eastAsia="標楷體" w:hAnsi="Times New Roman" w:cs="Times New Roman"/>
          <w:b/>
          <w:bCs/>
        </w:rPr>
        <w:t>】</w:t>
      </w:r>
      <w:proofErr w:type="gramEnd"/>
    </w:p>
    <w:p w14:paraId="7F0EAF2B" w14:textId="77777777" w:rsidR="00641065" w:rsidRPr="007155B6" w:rsidRDefault="00641065" w:rsidP="007573DB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7CA35C81" w14:textId="77777777" w:rsidR="00641065" w:rsidRPr="007155B6" w:rsidRDefault="00641065">
      <w:pPr>
        <w:widowControl/>
        <w:rPr>
          <w:rFonts w:ascii="Times New Roman" w:hAnsi="Times New Roman" w:cs="Times New Roman"/>
          <w:sz w:val="36"/>
          <w:szCs w:val="36"/>
        </w:rPr>
      </w:pPr>
      <w:r w:rsidRPr="007155B6">
        <w:rPr>
          <w:rFonts w:ascii="Times New Roman" w:hAnsi="Times New Roman" w:cs="Times New Roman"/>
          <w:sz w:val="36"/>
          <w:szCs w:val="36"/>
        </w:rPr>
        <w:br w:type="page"/>
      </w:r>
    </w:p>
    <w:p w14:paraId="344D735D" w14:textId="77777777" w:rsidR="00A51C37" w:rsidRPr="007155B6" w:rsidRDefault="0045100C" w:rsidP="0045100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lastRenderedPageBreak/>
        <w:t>限制之必要性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796"/>
      </w:tblGrid>
      <w:tr w:rsidR="0082111A" w:rsidRPr="007155B6" w14:paraId="51EE22D6" w14:textId="77777777" w:rsidTr="0082111A">
        <w:tc>
          <w:tcPr>
            <w:tcW w:w="8356" w:type="dxa"/>
          </w:tcPr>
          <w:p w14:paraId="1831F2A1" w14:textId="38D5BCCD" w:rsidR="0082111A" w:rsidRPr="007155B6" w:rsidRDefault="00641065" w:rsidP="00772A4F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在集體生活的群體社會中</w:t>
            </w:r>
            <w:r w:rsidR="0082111A" w:rsidRPr="007155B6">
              <w:rPr>
                <w:rFonts w:ascii="Times New Roman" w:hAnsi="Times New Roman" w:cs="Times New Roman"/>
              </w:rPr>
              <w:t>，所有權利幾乎都有被限制的可能。</w:t>
            </w:r>
          </w:p>
          <w:p w14:paraId="42ABBFE9" w14:textId="59BAB8F6" w:rsidR="0082111A" w:rsidRPr="007155B6" w:rsidRDefault="0082111A" w:rsidP="00772A4F">
            <w:pPr>
              <w:pStyle w:val="a3"/>
              <w:numPr>
                <w:ilvl w:val="0"/>
                <w:numId w:val="17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討論人權時，真正要探究的是人權如何被限制</w:t>
            </w:r>
            <w:r w:rsidR="00641065" w:rsidRPr="007155B6">
              <w:rPr>
                <w:rFonts w:ascii="Times New Roman" w:hAnsi="Times New Roman" w:cs="Times New Roman"/>
              </w:rPr>
              <w:t>（</w:t>
            </w:r>
            <w:r w:rsidRPr="007155B6">
              <w:rPr>
                <w:rFonts w:ascii="Times New Roman" w:hAnsi="Times New Roman" w:cs="Times New Roman"/>
              </w:rPr>
              <w:t>為何要被限制</w:t>
            </w:r>
            <w:r w:rsidR="00641065" w:rsidRPr="007155B6">
              <w:rPr>
                <w:rFonts w:ascii="Times New Roman" w:hAnsi="Times New Roman" w:cs="Times New Roman"/>
              </w:rPr>
              <w:t>）</w:t>
            </w:r>
            <w:r w:rsidRPr="007155B6">
              <w:rPr>
                <w:rFonts w:ascii="Times New Roman" w:hAnsi="Times New Roman" w:cs="Times New Roman"/>
              </w:rPr>
              <w:t>？</w:t>
            </w:r>
          </w:p>
        </w:tc>
      </w:tr>
    </w:tbl>
    <w:p w14:paraId="1A4F92BA" w14:textId="77777777" w:rsidR="0045100C" w:rsidRPr="007155B6" w:rsidRDefault="0045100C" w:rsidP="0045100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是否存在絕對權利？</w:t>
      </w:r>
    </w:p>
    <w:p w14:paraId="79BC982C" w14:textId="77777777" w:rsidR="0045100C" w:rsidRPr="007155B6" w:rsidRDefault="0045100C" w:rsidP="0045100C">
      <w:pPr>
        <w:pStyle w:val="a3"/>
        <w:numPr>
          <w:ilvl w:val="0"/>
          <w:numId w:val="2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權利可能被剝奪或限制的理由</w:t>
      </w:r>
    </w:p>
    <w:p w14:paraId="5326CF70" w14:textId="77777777" w:rsidR="0045100C" w:rsidRPr="007155B6" w:rsidRDefault="0045100C" w:rsidP="0045100C">
      <w:pPr>
        <w:pStyle w:val="a3"/>
        <w:ind w:leftChars="0" w:left="1440"/>
        <w:rPr>
          <w:rFonts w:ascii="Times New Roman" w:hAnsi="Times New Roman" w:cs="Times New Roman"/>
        </w:rPr>
      </w:pPr>
    </w:p>
    <w:p w14:paraId="12F0D47B" w14:textId="77777777" w:rsidR="0045100C" w:rsidRPr="007155B6" w:rsidRDefault="0045100C" w:rsidP="0045100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限制之類型</w:t>
      </w:r>
    </w:p>
    <w:p w14:paraId="3C142F87" w14:textId="77777777" w:rsidR="0045100C" w:rsidRPr="007155B6" w:rsidRDefault="0045100C" w:rsidP="0045100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憲法直接限制</w:t>
      </w:r>
    </w:p>
    <w:tbl>
      <w:tblPr>
        <w:tblStyle w:val="a8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2111A" w:rsidRPr="007155B6" w14:paraId="546E734C" w14:textId="77777777" w:rsidTr="00B23523">
        <w:tc>
          <w:tcPr>
            <w:tcW w:w="8356" w:type="dxa"/>
          </w:tcPr>
          <w:p w14:paraId="21C1C390" w14:textId="0863D3E4" w:rsidR="0082111A" w:rsidRPr="007155B6" w:rsidRDefault="0082111A" w:rsidP="00641065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不易見。</w:t>
            </w:r>
          </w:p>
          <w:p w14:paraId="4BE2BCB6" w14:textId="7608612F" w:rsidR="0082111A" w:rsidRPr="007155B6" w:rsidRDefault="0082111A" w:rsidP="00641065">
            <w:pPr>
              <w:pStyle w:val="a3"/>
              <w:numPr>
                <w:ilvl w:val="0"/>
                <w:numId w:val="1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例如德國基本法上規定：人民皆有集會結社自由，但須以和平方式為之</w:t>
            </w:r>
            <w:r w:rsidR="00641065" w:rsidRPr="007155B6">
              <w:rPr>
                <w:rFonts w:ascii="Times New Roman" w:hAnsi="Times New Roman" w:cs="Times New Roman"/>
              </w:rPr>
              <w:t>（</w:t>
            </w:r>
            <w:r w:rsidRPr="007155B6">
              <w:rPr>
                <w:rFonts w:ascii="Times New Roman" w:hAnsi="Times New Roman" w:cs="Times New Roman"/>
              </w:rPr>
              <w:t>人民皆有和平集會結社之自由</w:t>
            </w:r>
            <w:r w:rsidR="00641065" w:rsidRPr="007155B6">
              <w:rPr>
                <w:rFonts w:ascii="Times New Roman" w:hAnsi="Times New Roman" w:cs="Times New Roman"/>
              </w:rPr>
              <w:t>）</w:t>
            </w:r>
            <w:r w:rsidRPr="007155B6">
              <w:rPr>
                <w:rFonts w:ascii="Times New Roman" w:hAnsi="Times New Roman" w:cs="Times New Roman"/>
              </w:rPr>
              <w:t>。</w:t>
            </w:r>
          </w:p>
        </w:tc>
      </w:tr>
    </w:tbl>
    <w:p w14:paraId="6D701466" w14:textId="77777777" w:rsidR="0045100C" w:rsidRPr="007155B6" w:rsidRDefault="00DF4879" w:rsidP="0045100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基於</w:t>
      </w:r>
      <w:r w:rsidR="0045100C" w:rsidRPr="007155B6">
        <w:rPr>
          <w:rFonts w:ascii="Times New Roman" w:hAnsi="Times New Roman" w:cs="Times New Roman"/>
        </w:rPr>
        <w:t>法律</w:t>
      </w:r>
      <w:r w:rsidRPr="007155B6">
        <w:rPr>
          <w:rFonts w:ascii="Times New Roman" w:hAnsi="Times New Roman" w:cs="Times New Roman"/>
        </w:rPr>
        <w:t>而生之</w:t>
      </w:r>
      <w:r w:rsidR="0045100C" w:rsidRPr="007155B6">
        <w:rPr>
          <w:rFonts w:ascii="Times New Roman" w:hAnsi="Times New Roman" w:cs="Times New Roman"/>
        </w:rPr>
        <w:t>限制</w:t>
      </w:r>
    </w:p>
    <w:tbl>
      <w:tblPr>
        <w:tblStyle w:val="a8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2111A" w:rsidRPr="007155B6" w14:paraId="3CC4A02F" w14:textId="77777777" w:rsidTr="00B23523">
        <w:tc>
          <w:tcPr>
            <w:tcW w:w="8356" w:type="dxa"/>
          </w:tcPr>
          <w:p w14:paraId="6B297CD5" w14:textId="0154A3B8" w:rsidR="0082111A" w:rsidRPr="007155B6" w:rsidRDefault="00221559" w:rsidP="00641065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最常見</w:t>
            </w:r>
            <w:r w:rsidR="0082111A" w:rsidRPr="007155B6">
              <w:rPr>
                <w:rFonts w:ascii="Times New Roman" w:hAnsi="Times New Roman" w:cs="Times New Roman"/>
              </w:rPr>
              <w:t>。</w:t>
            </w:r>
          </w:p>
          <w:p w14:paraId="399C5062" w14:textId="457DED21" w:rsidR="0082111A" w:rsidRPr="007155B6" w:rsidRDefault="00221559" w:rsidP="00641065">
            <w:pPr>
              <w:pStyle w:val="a3"/>
              <w:numPr>
                <w:ilvl w:val="0"/>
                <w:numId w:val="1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憲法宣示保障某特定人權</w:t>
            </w:r>
            <w:r w:rsidR="00641065" w:rsidRPr="007155B6">
              <w:rPr>
                <w:rFonts w:ascii="Times New Roman" w:hAnsi="Times New Roman" w:cs="Times New Roman"/>
              </w:rPr>
              <w:t>，而</w:t>
            </w:r>
            <w:r w:rsidR="0082111A" w:rsidRPr="007155B6">
              <w:rPr>
                <w:rFonts w:ascii="Times New Roman" w:hAnsi="Times New Roman" w:cs="Times New Roman"/>
              </w:rPr>
              <w:t>後</w:t>
            </w:r>
            <w:r w:rsidR="00641065" w:rsidRPr="007155B6">
              <w:rPr>
                <w:rFonts w:ascii="Times New Roman" w:hAnsi="Times New Roman" w:cs="Times New Roman"/>
              </w:rPr>
              <w:t>由立法者</w:t>
            </w:r>
            <w:r w:rsidRPr="007155B6">
              <w:rPr>
                <w:rFonts w:ascii="Times New Roman" w:hAnsi="Times New Roman" w:cs="Times New Roman"/>
              </w:rPr>
              <w:t>透過立法來落實</w:t>
            </w:r>
            <w:r w:rsidR="0082111A" w:rsidRPr="007155B6">
              <w:rPr>
                <w:rFonts w:ascii="Times New Roman" w:hAnsi="Times New Roman" w:cs="Times New Roman"/>
              </w:rPr>
              <w:t>此</w:t>
            </w:r>
            <w:r w:rsidRPr="007155B6">
              <w:rPr>
                <w:rFonts w:ascii="Times New Roman" w:hAnsi="Times New Roman" w:cs="Times New Roman"/>
              </w:rPr>
              <w:t>項</w:t>
            </w:r>
            <w:r w:rsidR="0082111A" w:rsidRPr="007155B6">
              <w:rPr>
                <w:rFonts w:ascii="Times New Roman" w:hAnsi="Times New Roman" w:cs="Times New Roman"/>
              </w:rPr>
              <w:t>人權</w:t>
            </w:r>
            <w:r w:rsidRPr="007155B6">
              <w:rPr>
                <w:rFonts w:ascii="Times New Roman" w:hAnsi="Times New Roman" w:cs="Times New Roman"/>
              </w:rPr>
              <w:t>之保障與其</w:t>
            </w:r>
            <w:r w:rsidR="0082111A" w:rsidRPr="007155B6">
              <w:rPr>
                <w:rFonts w:ascii="Times New Roman" w:hAnsi="Times New Roman" w:cs="Times New Roman"/>
              </w:rPr>
              <w:t>限制。</w:t>
            </w:r>
          </w:p>
        </w:tc>
      </w:tr>
    </w:tbl>
    <w:p w14:paraId="7FCB7C65" w14:textId="77777777" w:rsidR="0045100C" w:rsidRPr="007155B6" w:rsidRDefault="00DF4879" w:rsidP="0045100C">
      <w:pPr>
        <w:pStyle w:val="a3"/>
        <w:numPr>
          <w:ilvl w:val="0"/>
          <w:numId w:val="3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因權利衝突而生之限制</w:t>
      </w:r>
    </w:p>
    <w:tbl>
      <w:tblPr>
        <w:tblStyle w:val="a8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82111A" w:rsidRPr="007155B6" w14:paraId="162423F8" w14:textId="77777777" w:rsidTr="00B23523">
        <w:tc>
          <w:tcPr>
            <w:tcW w:w="8356" w:type="dxa"/>
          </w:tcPr>
          <w:p w14:paraId="67590043" w14:textId="1C7D70A3" w:rsidR="0082111A" w:rsidRPr="007155B6" w:rsidRDefault="00641065" w:rsidP="00641065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有些人權當憲法規定以後，法律很難再對其做具體規範。倘若真要對其進行規範</w:t>
            </w:r>
            <w:r w:rsidR="00C551A5" w:rsidRPr="007155B6">
              <w:rPr>
                <w:rFonts w:ascii="Times New Roman" w:hAnsi="Times New Roman" w:cs="Times New Roman"/>
              </w:rPr>
              <w:t>，</w:t>
            </w:r>
            <w:r w:rsidRPr="007155B6">
              <w:rPr>
                <w:rFonts w:ascii="Times New Roman" w:hAnsi="Times New Roman" w:cs="Times New Roman"/>
              </w:rPr>
              <w:t>則</w:t>
            </w:r>
            <w:r w:rsidR="00C551A5" w:rsidRPr="007155B6">
              <w:rPr>
                <w:rFonts w:ascii="Times New Roman" w:hAnsi="Times New Roman" w:cs="Times New Roman"/>
              </w:rPr>
              <w:t>往往是以保障其他人權</w:t>
            </w:r>
            <w:r w:rsidRPr="007155B6">
              <w:rPr>
                <w:rFonts w:ascii="Times New Roman" w:hAnsi="Times New Roman" w:cs="Times New Roman"/>
              </w:rPr>
              <w:t>的理由</w:t>
            </w:r>
            <w:r w:rsidR="00C551A5" w:rsidRPr="007155B6">
              <w:rPr>
                <w:rFonts w:ascii="Times New Roman" w:hAnsi="Times New Roman" w:cs="Times New Roman"/>
              </w:rPr>
              <w:t>來對其進行限制。</w:t>
            </w:r>
          </w:p>
          <w:p w14:paraId="5911ACEF" w14:textId="19235F89" w:rsidR="00C551A5" w:rsidRPr="007155B6" w:rsidRDefault="00C551A5" w:rsidP="004563FC">
            <w:pPr>
              <w:pStyle w:val="a3"/>
              <w:numPr>
                <w:ilvl w:val="0"/>
                <w:numId w:val="14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例如：</w:t>
            </w:r>
            <w:r w:rsidR="00641065" w:rsidRPr="007155B6">
              <w:rPr>
                <w:rFonts w:ascii="Times New Roman" w:hAnsi="Times New Roman" w:cs="Times New Roman"/>
              </w:rPr>
              <w:t>個人享有</w:t>
            </w:r>
            <w:r w:rsidRPr="007155B6">
              <w:rPr>
                <w:rFonts w:ascii="Times New Roman" w:hAnsi="Times New Roman" w:cs="Times New Roman"/>
              </w:rPr>
              <w:t>創作自由，但當其</w:t>
            </w:r>
            <w:r w:rsidR="004563FC" w:rsidRPr="007155B6">
              <w:rPr>
                <w:rFonts w:ascii="Times New Roman" w:hAnsi="Times New Roman" w:cs="Times New Roman"/>
              </w:rPr>
              <w:t>作品為</w:t>
            </w:r>
            <w:r w:rsidR="00641065" w:rsidRPr="007155B6">
              <w:rPr>
                <w:rFonts w:ascii="Times New Roman" w:hAnsi="Times New Roman" w:cs="Times New Roman"/>
              </w:rPr>
              <w:t>詆毀</w:t>
            </w:r>
            <w:r w:rsidRPr="007155B6">
              <w:rPr>
                <w:rFonts w:ascii="Times New Roman" w:hAnsi="Times New Roman" w:cs="Times New Roman"/>
              </w:rPr>
              <w:t>別人肖像時，則因牴觸他人人格權而致其創作權受限制。</w:t>
            </w:r>
          </w:p>
        </w:tc>
      </w:tr>
    </w:tbl>
    <w:p w14:paraId="3C702BE6" w14:textId="77777777" w:rsidR="00DF4879" w:rsidRPr="007155B6" w:rsidRDefault="00DF4879" w:rsidP="00DF4879">
      <w:pPr>
        <w:pStyle w:val="a3"/>
        <w:ind w:leftChars="0" w:left="1440"/>
        <w:rPr>
          <w:rFonts w:ascii="Times New Roman" w:hAnsi="Times New Roman" w:cs="Times New Roman"/>
        </w:rPr>
      </w:pPr>
    </w:p>
    <w:p w14:paraId="3650DE1D" w14:textId="77777777" w:rsidR="0045100C" w:rsidRPr="007155B6" w:rsidRDefault="0045100C" w:rsidP="0045100C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限制人權之行為的違憲審查步驟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7796"/>
      </w:tblGrid>
      <w:tr w:rsidR="00F6213F" w:rsidRPr="007155B6" w14:paraId="40C74202" w14:textId="77777777" w:rsidTr="00F6213F">
        <w:tc>
          <w:tcPr>
            <w:tcW w:w="8356" w:type="dxa"/>
          </w:tcPr>
          <w:p w14:paraId="1DB4EBD0" w14:textId="21834398" w:rsidR="007A3353" w:rsidRPr="007155B6" w:rsidRDefault="00F6213F" w:rsidP="00772A4F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  <w:bdr w:val="single" w:sz="4" w:space="0" w:color="auto"/>
              </w:rPr>
              <w:t>虛擬案例</w:t>
            </w:r>
            <w:r w:rsidRPr="007155B6">
              <w:rPr>
                <w:rFonts w:ascii="Times New Roman" w:hAnsi="Times New Roman" w:cs="Times New Roman"/>
              </w:rPr>
              <w:t>：</w:t>
            </w:r>
            <w:proofErr w:type="gramStart"/>
            <w:r w:rsidRPr="007155B6">
              <w:rPr>
                <w:rFonts w:ascii="Times New Roman" w:hAnsi="Times New Roman" w:cs="Times New Roman"/>
              </w:rPr>
              <w:t>某甲在中華民國</w:t>
            </w:r>
            <w:proofErr w:type="gramEnd"/>
            <w:r w:rsidRPr="007155B6">
              <w:rPr>
                <w:rFonts w:ascii="Times New Roman" w:hAnsi="Times New Roman" w:cs="Times New Roman"/>
              </w:rPr>
              <w:t>成立「天堂旅行社」，對消費者收取一定費用，</w:t>
            </w:r>
            <w:r w:rsidR="00221559" w:rsidRPr="007155B6">
              <w:rPr>
                <w:rFonts w:ascii="Times New Roman" w:hAnsi="Times New Roman" w:cs="Times New Roman"/>
              </w:rPr>
              <w:t>協助其前往歐陸安樂死合法化之國家進行安樂死，該旅行負責機票，住宿安排與申請安樂死之相關行政手續。簡言之，就是安排一趟</w:t>
            </w:r>
            <w:r w:rsidRPr="007155B6">
              <w:rPr>
                <w:rFonts w:ascii="Times New Roman" w:hAnsi="Times New Roman" w:cs="Times New Roman"/>
              </w:rPr>
              <w:t>死亡之旅。試問，國家以刑法第</w:t>
            </w:r>
            <w:r w:rsidRPr="007155B6">
              <w:rPr>
                <w:rFonts w:ascii="Times New Roman" w:hAnsi="Times New Roman" w:cs="Times New Roman"/>
              </w:rPr>
              <w:t>275</w:t>
            </w:r>
            <w:r w:rsidRPr="007155B6">
              <w:rPr>
                <w:rFonts w:ascii="Times New Roman" w:hAnsi="Times New Roman" w:cs="Times New Roman"/>
              </w:rPr>
              <w:t>條：「教唆或幫助他人使之自殺，或受其囑託或得其承諾而殺之者，處一年以上</w:t>
            </w:r>
            <w:r w:rsidRPr="007155B6">
              <w:rPr>
                <w:rFonts w:ascii="Times New Roman" w:eastAsia="新細明體" w:hAnsi="Times New Roman" w:cs="Times New Roman"/>
                <w:kern w:val="0"/>
              </w:rPr>
              <w:t>七年以下有期徒刑</w:t>
            </w:r>
            <w:r w:rsidRPr="007155B6">
              <w:rPr>
                <w:rFonts w:ascii="Times New Roman" w:hAnsi="Times New Roman" w:cs="Times New Roman"/>
              </w:rPr>
              <w:t>」</w:t>
            </w:r>
            <w:r w:rsidR="008A3883"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3C4DA50" wp14:editId="71F7FC76">
                  <wp:extent cx="222636" cy="195005"/>
                  <wp:effectExtent l="0" t="0" r="6350" b="0"/>
                  <wp:docPr id="7" name="圖片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C704C7" w:rsidRPr="007155B6">
              <w:rPr>
                <w:rFonts w:ascii="Times New Roman" w:hAnsi="Times New Roman" w:cs="Times New Roman"/>
              </w:rPr>
              <w:t>起訴某甲</w:t>
            </w:r>
            <w:r w:rsidR="00221559" w:rsidRPr="007155B6">
              <w:rPr>
                <w:rFonts w:ascii="Times New Roman" w:hAnsi="Times New Roman" w:cs="Times New Roman"/>
              </w:rPr>
              <w:t>，某甲主張該規定侵害其人權</w:t>
            </w:r>
            <w:r w:rsidRPr="007155B6">
              <w:rPr>
                <w:rFonts w:ascii="Times New Roman" w:hAnsi="Times New Roman" w:cs="Times New Roman"/>
              </w:rPr>
              <w:t>是否</w:t>
            </w:r>
            <w:r w:rsidR="00427ACC" w:rsidRPr="007155B6">
              <w:rPr>
                <w:rFonts w:ascii="Times New Roman" w:hAnsi="Times New Roman" w:cs="Times New Roman"/>
              </w:rPr>
              <w:t>有</w:t>
            </w:r>
            <w:r w:rsidRPr="007155B6">
              <w:rPr>
                <w:rFonts w:ascii="Times New Roman" w:hAnsi="Times New Roman" w:cs="Times New Roman"/>
              </w:rPr>
              <w:t>理？</w:t>
            </w:r>
          </w:p>
        </w:tc>
      </w:tr>
    </w:tbl>
    <w:p w14:paraId="31706182" w14:textId="77777777" w:rsidR="00F6213F" w:rsidRPr="007155B6" w:rsidRDefault="00F6213F" w:rsidP="00F6213F">
      <w:pPr>
        <w:pStyle w:val="a3"/>
        <w:ind w:leftChars="0" w:left="720"/>
        <w:rPr>
          <w:rFonts w:ascii="Times New Roman" w:hAnsi="Times New Roman" w:cs="Times New Roman"/>
        </w:rPr>
      </w:pPr>
    </w:p>
    <w:p w14:paraId="5765C3EB" w14:textId="77777777" w:rsidR="00DF4879" w:rsidRPr="007155B6" w:rsidRDefault="00DF4879" w:rsidP="00DF487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認識案件事實</w:t>
      </w:r>
    </w:p>
    <w:tbl>
      <w:tblPr>
        <w:tblStyle w:val="a8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7A3353" w:rsidRPr="007155B6" w14:paraId="01B72118" w14:textId="77777777" w:rsidTr="00B23523">
        <w:tc>
          <w:tcPr>
            <w:tcW w:w="8356" w:type="dxa"/>
          </w:tcPr>
          <w:p w14:paraId="42F9BC3C" w14:textId="3FF6451B" w:rsidR="007A3353" w:rsidRPr="007155B6" w:rsidRDefault="007A3353" w:rsidP="007A3353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具體理解</w:t>
            </w:r>
            <w:r w:rsidR="004563FC" w:rsidRPr="007155B6">
              <w:rPr>
                <w:rFonts w:ascii="Times New Roman" w:hAnsi="Times New Roman" w:cs="Times New Roman"/>
              </w:rPr>
              <w:t>案件所牽涉之</w:t>
            </w:r>
            <w:r w:rsidRPr="007155B6">
              <w:rPr>
                <w:rFonts w:ascii="Times New Roman" w:hAnsi="Times New Roman" w:cs="Times New Roman"/>
              </w:rPr>
              <w:t>人、事、時、地、物。</w:t>
            </w:r>
          </w:p>
        </w:tc>
      </w:tr>
    </w:tbl>
    <w:p w14:paraId="7619EFDA" w14:textId="77777777" w:rsidR="00DF4879" w:rsidRPr="007155B6" w:rsidRDefault="00DF4879" w:rsidP="00DF487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lastRenderedPageBreak/>
        <w:t>界定法律爭點</w:t>
      </w:r>
    </w:p>
    <w:p w14:paraId="5C136419" w14:textId="77777777" w:rsidR="00DF4879" w:rsidRPr="007155B6" w:rsidRDefault="00DF4879" w:rsidP="00DF4879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何種權利受到侵害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380B71" w:rsidRPr="007155B6" w14:paraId="2FFA7D54" w14:textId="77777777" w:rsidTr="00B23523">
        <w:tc>
          <w:tcPr>
            <w:tcW w:w="8356" w:type="dxa"/>
          </w:tcPr>
          <w:p w14:paraId="06100773" w14:textId="21D698F2" w:rsidR="008A39E5" w:rsidRPr="007155B6" w:rsidRDefault="004563FC" w:rsidP="004563FC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判</w:t>
            </w:r>
            <w:r w:rsidR="00221559" w:rsidRPr="007155B6">
              <w:rPr>
                <w:rFonts w:ascii="Times New Roman" w:hAnsi="Times New Roman" w:cs="Times New Roman"/>
              </w:rPr>
              <w:t>斷是何種人權受到侵害，其憲法保障依據為何？</w:t>
            </w:r>
            <w:r w:rsidRPr="007155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6EF3EE1E" w14:textId="77777777" w:rsidR="00DF4879" w:rsidRPr="007155B6" w:rsidRDefault="00DF4879" w:rsidP="00DF4879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界定審查態度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380B71" w:rsidRPr="007155B6" w14:paraId="0969CC98" w14:textId="77777777" w:rsidTr="00B23523">
        <w:tc>
          <w:tcPr>
            <w:tcW w:w="8356" w:type="dxa"/>
          </w:tcPr>
          <w:p w14:paraId="1EAAAF41" w14:textId="6CD71E77" w:rsidR="00380B71" w:rsidRPr="007155B6" w:rsidRDefault="004563FC" w:rsidP="004563FC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依案件</w:t>
            </w:r>
            <w:r w:rsidR="00380B71" w:rsidRPr="007155B6">
              <w:rPr>
                <w:rFonts w:ascii="Times New Roman" w:hAnsi="Times New Roman" w:cs="Times New Roman"/>
              </w:rPr>
              <w:t>涉及之權利屬性</w:t>
            </w:r>
            <w:r w:rsidRPr="007155B6">
              <w:rPr>
                <w:rFonts w:ascii="Times New Roman" w:hAnsi="Times New Roman" w:cs="Times New Roman"/>
              </w:rPr>
              <w:t>，決定</w:t>
            </w:r>
            <w:proofErr w:type="gramStart"/>
            <w:r w:rsidRPr="007155B6">
              <w:rPr>
                <w:rFonts w:ascii="Times New Roman" w:hAnsi="Times New Roman" w:cs="Times New Roman"/>
              </w:rPr>
              <w:t>採</w:t>
            </w:r>
            <w:proofErr w:type="gramEnd"/>
            <w:r w:rsidRPr="007155B6">
              <w:rPr>
                <w:rFonts w:ascii="Times New Roman" w:hAnsi="Times New Roman" w:cs="Times New Roman"/>
              </w:rPr>
              <w:t>寬鬆或嚴格之審查態度。</w:t>
            </w:r>
          </w:p>
          <w:p w14:paraId="431B4D1B" w14:textId="2285C013" w:rsidR="004563FC" w:rsidRPr="007155B6" w:rsidRDefault="004563FC" w:rsidP="004563FC">
            <w:pPr>
              <w:pStyle w:val="a3"/>
              <w:numPr>
                <w:ilvl w:val="0"/>
                <w:numId w:val="15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自由權</w:t>
            </w:r>
            <w:r w:rsidRPr="007155B6">
              <w:rPr>
                <w:rFonts w:ascii="Times New Roman" w:hAnsi="Times New Roman" w:cs="Times New Roman"/>
              </w:rPr>
              <w:t>→</w:t>
            </w:r>
            <w:r w:rsidRPr="007155B6">
              <w:rPr>
                <w:rFonts w:ascii="Times New Roman" w:hAnsi="Times New Roman" w:cs="Times New Roman"/>
              </w:rPr>
              <w:t>嚴格；請求權</w:t>
            </w:r>
            <w:r w:rsidRPr="007155B6">
              <w:rPr>
                <w:rFonts w:ascii="Times New Roman" w:hAnsi="Times New Roman" w:cs="Times New Roman"/>
              </w:rPr>
              <w:t>→</w:t>
            </w:r>
            <w:r w:rsidRPr="007155B6">
              <w:rPr>
                <w:rFonts w:ascii="Times New Roman" w:hAnsi="Times New Roman" w:cs="Times New Roman"/>
              </w:rPr>
              <w:t>較寬鬆。</w:t>
            </w:r>
          </w:p>
        </w:tc>
      </w:tr>
    </w:tbl>
    <w:p w14:paraId="1F02E957" w14:textId="77777777" w:rsidR="00DF4879" w:rsidRPr="007155B6" w:rsidRDefault="00DF4879" w:rsidP="00DF4879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找出侵害行為的法律基礎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380B71" w:rsidRPr="007155B6" w14:paraId="3CC92E6F" w14:textId="77777777" w:rsidTr="00B23523">
        <w:tc>
          <w:tcPr>
            <w:tcW w:w="8356" w:type="dxa"/>
          </w:tcPr>
          <w:p w14:paraId="78E67952" w14:textId="7F26E22C" w:rsidR="00380B71" w:rsidRPr="007155B6" w:rsidRDefault="001B01E5" w:rsidP="00380B71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亦即國家究竟是依據何種法律規範，禁止人民從事某</w:t>
            </w:r>
            <w:r w:rsidR="00380B71" w:rsidRPr="007155B6">
              <w:rPr>
                <w:rFonts w:ascii="Times New Roman" w:hAnsi="Times New Roman" w:cs="Times New Roman"/>
              </w:rPr>
              <w:t>行為</w:t>
            </w:r>
            <w:r w:rsidRPr="007155B6">
              <w:rPr>
                <w:rFonts w:ascii="Times New Roman" w:hAnsi="Times New Roman" w:cs="Times New Roman"/>
              </w:rPr>
              <w:t>。</w:t>
            </w:r>
          </w:p>
        </w:tc>
      </w:tr>
    </w:tbl>
    <w:p w14:paraId="4DBE6C92" w14:textId="77777777" w:rsidR="00DF4879" w:rsidRPr="007155B6" w:rsidRDefault="00DF4879" w:rsidP="00DF4879">
      <w:pPr>
        <w:pStyle w:val="a3"/>
        <w:numPr>
          <w:ilvl w:val="0"/>
          <w:numId w:val="5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確認系爭抽象規範的法律位階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8A39E5" w:rsidRPr="007155B6" w14:paraId="1F88F1A5" w14:textId="77777777" w:rsidTr="00B23523">
        <w:tc>
          <w:tcPr>
            <w:tcW w:w="8356" w:type="dxa"/>
          </w:tcPr>
          <w:p w14:paraId="74CE0B00" w14:textId="59196360" w:rsidR="008A39E5" w:rsidRPr="007155B6" w:rsidRDefault="001B01E5" w:rsidP="00B23523">
            <w:pPr>
              <w:pStyle w:val="a3"/>
              <w:ind w:leftChars="0" w:left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判斷國家據</w:t>
            </w:r>
            <w:r w:rsidR="00801976" w:rsidRPr="007155B6">
              <w:rPr>
                <w:rFonts w:ascii="Times New Roman" w:hAnsi="Times New Roman" w:cs="Times New Roman"/>
              </w:rPr>
              <w:t>以限制人民</w:t>
            </w:r>
            <w:r w:rsidR="00221559" w:rsidRPr="007155B6">
              <w:rPr>
                <w:rFonts w:ascii="Times New Roman" w:hAnsi="Times New Roman" w:cs="Times New Roman"/>
              </w:rPr>
              <w:t>行為</w:t>
            </w:r>
            <w:r w:rsidR="00801976" w:rsidRPr="007155B6">
              <w:rPr>
                <w:rFonts w:ascii="Times New Roman" w:hAnsi="Times New Roman" w:cs="Times New Roman"/>
              </w:rPr>
              <w:t>的</w:t>
            </w:r>
            <w:r w:rsidR="00221559" w:rsidRPr="007155B6">
              <w:rPr>
                <w:rFonts w:ascii="Times New Roman" w:hAnsi="Times New Roman" w:cs="Times New Roman"/>
              </w:rPr>
              <w:t>法規範，是屬於何種</w:t>
            </w:r>
            <w:r w:rsidR="00801976" w:rsidRPr="007155B6">
              <w:rPr>
                <w:rFonts w:ascii="Times New Roman" w:hAnsi="Times New Roman" w:cs="Times New Roman"/>
              </w:rPr>
              <w:t>法律位階。</w:t>
            </w:r>
          </w:p>
        </w:tc>
      </w:tr>
    </w:tbl>
    <w:p w14:paraId="1D57FF33" w14:textId="77777777" w:rsidR="00DF4879" w:rsidRPr="007155B6" w:rsidRDefault="00DF4879" w:rsidP="00DF487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形式審查</w:t>
      </w:r>
    </w:p>
    <w:tbl>
      <w:tblPr>
        <w:tblStyle w:val="a8"/>
        <w:tblW w:w="0" w:type="auto"/>
        <w:tblInd w:w="14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76"/>
      </w:tblGrid>
      <w:tr w:rsidR="00DE19D8" w:rsidRPr="007155B6" w14:paraId="01697DA7" w14:textId="77777777" w:rsidTr="00B23523">
        <w:tc>
          <w:tcPr>
            <w:tcW w:w="8356" w:type="dxa"/>
          </w:tcPr>
          <w:p w14:paraId="48899482" w14:textId="764EAB86" w:rsidR="00DE19D8" w:rsidRPr="007155B6" w:rsidRDefault="00221559" w:rsidP="00772A4F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先</w:t>
            </w:r>
            <w:r w:rsidR="00DE19D8" w:rsidRPr="007155B6">
              <w:rPr>
                <w:rFonts w:ascii="Times New Roman" w:hAnsi="Times New Roman" w:cs="Times New Roman"/>
              </w:rPr>
              <w:t>不</w:t>
            </w:r>
            <w:r w:rsidRPr="007155B6">
              <w:rPr>
                <w:rFonts w:ascii="Times New Roman" w:hAnsi="Times New Roman" w:cs="Times New Roman"/>
              </w:rPr>
              <w:t>問</w:t>
            </w:r>
            <w:r w:rsidR="00C704C7" w:rsidRPr="007155B6">
              <w:rPr>
                <w:rFonts w:ascii="Times New Roman" w:hAnsi="Times New Roman" w:cs="Times New Roman"/>
              </w:rPr>
              <w:t>限制權利</w:t>
            </w:r>
            <w:r w:rsidR="00DE19D8" w:rsidRPr="007155B6">
              <w:rPr>
                <w:rFonts w:ascii="Times New Roman" w:hAnsi="Times New Roman" w:cs="Times New Roman"/>
              </w:rPr>
              <w:t>的</w:t>
            </w:r>
            <w:r w:rsidRPr="007155B6">
              <w:rPr>
                <w:rFonts w:ascii="Times New Roman" w:hAnsi="Times New Roman" w:cs="Times New Roman"/>
              </w:rPr>
              <w:t>具體</w:t>
            </w:r>
            <w:r w:rsidR="00DE19D8" w:rsidRPr="007155B6">
              <w:rPr>
                <w:rFonts w:ascii="Times New Roman" w:hAnsi="Times New Roman" w:cs="Times New Roman"/>
              </w:rPr>
              <w:t>內容為何，</w:t>
            </w:r>
            <w:r w:rsidR="00136EA1" w:rsidRPr="007155B6">
              <w:rPr>
                <w:rFonts w:ascii="Times New Roman" w:hAnsi="Times New Roman" w:cs="Times New Roman"/>
              </w:rPr>
              <w:t>而是</w:t>
            </w:r>
            <w:r w:rsidRPr="007155B6">
              <w:rPr>
                <w:rFonts w:ascii="Times New Roman" w:hAnsi="Times New Roman" w:cs="Times New Roman"/>
              </w:rPr>
              <w:t>問</w:t>
            </w:r>
            <w:r w:rsidR="00DE19D8" w:rsidRPr="007155B6">
              <w:rPr>
                <w:rFonts w:ascii="Times New Roman" w:hAnsi="Times New Roman" w:cs="Times New Roman"/>
              </w:rPr>
              <w:t>國家是否</w:t>
            </w:r>
            <w:r w:rsidR="00772A4F" w:rsidRPr="007155B6">
              <w:rPr>
                <w:rFonts w:ascii="Times New Roman" w:hAnsi="Times New Roman" w:cs="Times New Roman"/>
              </w:rPr>
              <w:t>以適當的規範對其</w:t>
            </w:r>
            <w:r w:rsidR="00136EA1" w:rsidRPr="007155B6">
              <w:rPr>
                <w:rFonts w:ascii="Times New Roman" w:hAnsi="Times New Roman" w:cs="Times New Roman"/>
              </w:rPr>
              <w:t>進行限制</w:t>
            </w:r>
            <w:r w:rsidR="00DE19D8" w:rsidRPr="007155B6">
              <w:rPr>
                <w:rFonts w:ascii="Times New Roman" w:hAnsi="Times New Roman" w:cs="Times New Roman"/>
              </w:rPr>
              <w:t>。</w:t>
            </w:r>
          </w:p>
          <w:p w14:paraId="2EF4D3AE" w14:textId="6B200301" w:rsidR="00136EA1" w:rsidRPr="007155B6" w:rsidRDefault="00C704C7" w:rsidP="00772A4F">
            <w:pPr>
              <w:pStyle w:val="a3"/>
              <w:numPr>
                <w:ilvl w:val="0"/>
                <w:numId w:val="1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權利可被限制，但須由適當位階之</w:t>
            </w:r>
            <w:r w:rsidR="00221559" w:rsidRPr="007155B6">
              <w:rPr>
                <w:rFonts w:ascii="Times New Roman" w:hAnsi="Times New Roman" w:cs="Times New Roman"/>
              </w:rPr>
              <w:t>法</w:t>
            </w:r>
            <w:r w:rsidRPr="007155B6">
              <w:rPr>
                <w:rFonts w:ascii="Times New Roman" w:hAnsi="Times New Roman" w:cs="Times New Roman"/>
              </w:rPr>
              <w:t>規範來進行</w:t>
            </w:r>
            <w:r w:rsidR="00221559" w:rsidRPr="007155B6">
              <w:rPr>
                <w:rFonts w:ascii="Times New Roman" w:hAnsi="Times New Roman" w:cs="Times New Roman"/>
              </w:rPr>
              <w:t>限制</w:t>
            </w:r>
            <w:r w:rsidR="00DE19D8" w:rsidRPr="007155B6">
              <w:rPr>
                <w:rFonts w:ascii="Times New Roman" w:hAnsi="Times New Roman" w:cs="Times New Roman"/>
              </w:rPr>
              <w:t>。</w:t>
            </w:r>
          </w:p>
        </w:tc>
      </w:tr>
    </w:tbl>
    <w:p w14:paraId="53E5F90E" w14:textId="77777777" w:rsidR="00DF4879" w:rsidRPr="007155B6" w:rsidRDefault="00DF4879" w:rsidP="00DF4879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有否違反憲法保留問題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DE19D8" w:rsidRPr="007155B6" w14:paraId="786DC583" w14:textId="77777777" w:rsidTr="00B23523">
        <w:tc>
          <w:tcPr>
            <w:tcW w:w="8356" w:type="dxa"/>
          </w:tcPr>
          <w:p w14:paraId="1E3A47C4" w14:textId="5A9FA4EB" w:rsidR="00DE19D8" w:rsidRPr="007155B6" w:rsidRDefault="00772A4F" w:rsidP="00772A4F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憲法保留：就</w:t>
            </w:r>
            <w:r w:rsidR="00DE19D8" w:rsidRPr="007155B6">
              <w:rPr>
                <w:rFonts w:ascii="Times New Roman" w:hAnsi="Times New Roman" w:cs="Times New Roman"/>
              </w:rPr>
              <w:t>某些事項</w:t>
            </w:r>
            <w:r w:rsidRPr="007155B6">
              <w:rPr>
                <w:rFonts w:ascii="Times New Roman" w:hAnsi="Times New Roman" w:cs="Times New Roman"/>
              </w:rPr>
              <w:t>而言</w:t>
            </w:r>
            <w:r w:rsidR="00DE19D8" w:rsidRPr="007155B6">
              <w:rPr>
                <w:rFonts w:ascii="Times New Roman" w:hAnsi="Times New Roman" w:cs="Times New Roman"/>
              </w:rPr>
              <w:t>，已由憲法本身做出明文</w:t>
            </w:r>
            <w:r w:rsidR="00AD2141" w:rsidRPr="007155B6">
              <w:rPr>
                <w:rFonts w:ascii="Times New Roman" w:hAnsi="Times New Roman" w:cs="Times New Roman"/>
              </w:rPr>
              <w:t>的</w:t>
            </w:r>
            <w:r w:rsidR="00DE19D8" w:rsidRPr="007155B6">
              <w:rPr>
                <w:rFonts w:ascii="Times New Roman" w:hAnsi="Times New Roman" w:cs="Times New Roman"/>
              </w:rPr>
              <w:t>規定。在此情況下，立法者不得訂定其他法規範與之相牴觸。</w:t>
            </w:r>
          </w:p>
          <w:p w14:paraId="7CEF03B2" w14:textId="32B48878" w:rsidR="00A33AAC" w:rsidRPr="007155B6" w:rsidRDefault="00E67FA7" w:rsidP="00A33AAC">
            <w:pPr>
              <w:pStyle w:val="a3"/>
              <w:numPr>
                <w:ilvl w:val="0"/>
                <w:numId w:val="18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例如</w:t>
            </w:r>
            <w:r w:rsidR="00772A4F" w:rsidRPr="007155B6">
              <w:rPr>
                <w:rFonts w:ascii="Times New Roman" w:hAnsi="Times New Roman" w:cs="Times New Roman"/>
              </w:rPr>
              <w:t>：</w:t>
            </w:r>
            <w:r w:rsidRPr="007155B6">
              <w:rPr>
                <w:rFonts w:ascii="Times New Roman" w:hAnsi="Times New Roman" w:cs="Times New Roman"/>
              </w:rPr>
              <w:t>憲法第</w:t>
            </w:r>
            <w:r w:rsidRPr="007155B6">
              <w:rPr>
                <w:rFonts w:ascii="Times New Roman" w:hAnsi="Times New Roman" w:cs="Times New Roman"/>
              </w:rPr>
              <w:t>8</w:t>
            </w:r>
            <w:r w:rsidRPr="007155B6">
              <w:rPr>
                <w:rFonts w:ascii="Times New Roman" w:hAnsi="Times New Roman" w:cs="Times New Roman"/>
              </w:rPr>
              <w:t>條的人身自由保障。</w:t>
            </w:r>
          </w:p>
        </w:tc>
      </w:tr>
    </w:tbl>
    <w:p w14:paraId="38906A66" w14:textId="77777777" w:rsidR="00DF4879" w:rsidRPr="007155B6" w:rsidRDefault="00DF4879" w:rsidP="00DF4879">
      <w:pPr>
        <w:pStyle w:val="a3"/>
        <w:numPr>
          <w:ilvl w:val="0"/>
          <w:numId w:val="6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有否違反法律保留問題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5C0D1E" w:rsidRPr="007155B6" w14:paraId="75A1DA8E" w14:textId="77777777" w:rsidTr="00B23523">
        <w:tc>
          <w:tcPr>
            <w:tcW w:w="8356" w:type="dxa"/>
          </w:tcPr>
          <w:p w14:paraId="41D8016B" w14:textId="696839B8" w:rsidR="005C0D1E" w:rsidRPr="007155B6" w:rsidRDefault="005C0D1E" w:rsidP="00AD2141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法律保留：</w:t>
            </w:r>
            <w:r w:rsidR="00EA65A0" w:rsidRPr="007155B6">
              <w:rPr>
                <w:rFonts w:ascii="Times New Roman" w:hAnsi="Times New Roman" w:cs="Times New Roman"/>
              </w:rPr>
              <w:t>對某項權利的限制，</w:t>
            </w:r>
            <w:r w:rsidRPr="007155B6">
              <w:rPr>
                <w:rFonts w:ascii="Times New Roman" w:hAnsi="Times New Roman" w:cs="Times New Roman"/>
              </w:rPr>
              <w:t>保留給立法者</w:t>
            </w:r>
            <w:r w:rsidR="00EA65A0" w:rsidRPr="007155B6">
              <w:rPr>
                <w:rFonts w:ascii="Times New Roman" w:hAnsi="Times New Roman" w:cs="Times New Roman"/>
              </w:rPr>
              <w:t>去</w:t>
            </w:r>
            <w:r w:rsidRPr="007155B6">
              <w:rPr>
                <w:rFonts w:ascii="Times New Roman" w:hAnsi="Times New Roman" w:cs="Times New Roman"/>
              </w:rPr>
              <w:t>規定，非立法者不得對其加以限制。</w:t>
            </w:r>
          </w:p>
          <w:p w14:paraId="168489A9" w14:textId="2D63E890" w:rsidR="00F46CC1" w:rsidRPr="007155B6" w:rsidRDefault="00221559" w:rsidP="00AD2141">
            <w:pPr>
              <w:pStyle w:val="a3"/>
              <w:numPr>
                <w:ilvl w:val="0"/>
                <w:numId w:val="19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我國</w:t>
            </w:r>
            <w:r w:rsidR="00AB780C" w:rsidRPr="007155B6">
              <w:rPr>
                <w:rFonts w:ascii="Times New Roman" w:hAnsi="Times New Roman" w:cs="Times New Roman"/>
              </w:rPr>
              <w:t>憲法第</w:t>
            </w:r>
            <w:r w:rsidR="00AB780C" w:rsidRPr="007155B6">
              <w:rPr>
                <w:rFonts w:ascii="Times New Roman" w:hAnsi="Times New Roman" w:cs="Times New Roman"/>
              </w:rPr>
              <w:t>23</w:t>
            </w:r>
            <w:r w:rsidR="00AB780C" w:rsidRPr="007155B6">
              <w:rPr>
                <w:rFonts w:ascii="Times New Roman" w:hAnsi="Times New Roman" w:cs="Times New Roman"/>
              </w:rPr>
              <w:t>條</w:t>
            </w:r>
            <w:r w:rsidRPr="007155B6">
              <w:rPr>
                <w:rFonts w:ascii="Times New Roman" w:hAnsi="Times New Roman" w:cs="Times New Roman"/>
              </w:rPr>
              <w:t>明文</w:t>
            </w:r>
            <w:r w:rsidR="00AD2141" w:rsidRPr="007155B6">
              <w:rPr>
                <w:rFonts w:ascii="Times New Roman" w:hAnsi="Times New Roman" w:cs="Times New Roman"/>
              </w:rPr>
              <w:t>規定，憲法第二章</w:t>
            </w:r>
            <w:r w:rsidR="00AB780C" w:rsidRPr="007155B6">
              <w:rPr>
                <w:rFonts w:ascii="Times New Roman" w:hAnsi="Times New Roman" w:cs="Times New Roman"/>
              </w:rPr>
              <w:t>之各項權利，</w:t>
            </w:r>
            <w:r w:rsidR="000C34BC" w:rsidRPr="007155B6">
              <w:rPr>
                <w:rFonts w:ascii="Times New Roman" w:hAnsi="Times New Roman" w:cs="Times New Roman"/>
              </w:rPr>
              <w:t>若有限制之必要</w:t>
            </w:r>
            <w:r w:rsidRPr="007155B6">
              <w:rPr>
                <w:rFonts w:ascii="Times New Roman" w:hAnsi="Times New Roman" w:cs="Times New Roman"/>
              </w:rPr>
              <w:t>時</w:t>
            </w:r>
            <w:r w:rsidR="000C34BC" w:rsidRPr="007155B6">
              <w:rPr>
                <w:rFonts w:ascii="Times New Roman" w:hAnsi="Times New Roman" w:cs="Times New Roman"/>
              </w:rPr>
              <w:t>，必須以法律</w:t>
            </w:r>
            <w:r w:rsidR="00AB780C" w:rsidRPr="007155B6">
              <w:rPr>
                <w:rFonts w:ascii="Times New Roman" w:hAnsi="Times New Roman" w:cs="Times New Roman"/>
              </w:rPr>
              <w:t>限制</w:t>
            </w:r>
            <w:r w:rsidR="000C34BC" w:rsidRPr="007155B6">
              <w:rPr>
                <w:rFonts w:ascii="Times New Roman" w:hAnsi="Times New Roman" w:cs="Times New Roman"/>
              </w:rPr>
              <w:t>之</w:t>
            </w:r>
            <w:r w:rsidR="00AB780C" w:rsidRPr="007155B6">
              <w:rPr>
                <w:rFonts w:ascii="Times New Roman" w:hAnsi="Times New Roman" w:cs="Times New Roman"/>
              </w:rPr>
              <w:t>。</w:t>
            </w:r>
            <w:r w:rsidR="008A3883"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6CDD976E" wp14:editId="0C073CDE">
                  <wp:extent cx="222636" cy="195005"/>
                  <wp:effectExtent l="0" t="0" r="6350" b="0"/>
                  <wp:docPr id="9" name="圖片 9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AD2141" w:rsidRPr="007155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174E9C81" w14:textId="77777777" w:rsidR="00DF4879" w:rsidRPr="007155B6" w:rsidRDefault="00DF4879" w:rsidP="00DF487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實質審查</w:t>
      </w:r>
    </w:p>
    <w:p w14:paraId="3DD6C559" w14:textId="77777777" w:rsidR="00DF4879" w:rsidRPr="007155B6" w:rsidRDefault="00DF4879" w:rsidP="00DF4879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明確性原則</w:t>
      </w:r>
    </w:p>
    <w:p w14:paraId="735DC1EB" w14:textId="2541F7C8" w:rsidR="00681E1C" w:rsidRPr="007155B6" w:rsidRDefault="00681E1C" w:rsidP="00681E1C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規範本身是否明確</w:t>
      </w:r>
      <w:r w:rsidR="00C21CE2" w:rsidRPr="007155B6">
        <w:rPr>
          <w:rFonts w:ascii="Times New Roman" w:hAnsi="Times New Roman" w:cs="Times New Roman"/>
        </w:rPr>
        <w:t>（</w:t>
      </w:r>
      <w:r w:rsidR="00305EA5" w:rsidRPr="007155B6">
        <w:rPr>
          <w:rFonts w:ascii="Times New Roman" w:hAnsi="Times New Roman" w:cs="Times New Roman"/>
        </w:rPr>
        <w:t>法律明確性</w:t>
      </w:r>
      <w:r w:rsidR="00C21CE2" w:rsidRPr="007155B6">
        <w:rPr>
          <w:rFonts w:ascii="Times New Roman" w:hAnsi="Times New Roman" w:cs="Times New Roman"/>
        </w:rPr>
        <w:t>）</w:t>
      </w:r>
    </w:p>
    <w:tbl>
      <w:tblPr>
        <w:tblStyle w:val="a8"/>
        <w:tblW w:w="0" w:type="auto"/>
        <w:tblInd w:w="2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305EA5" w:rsidRPr="007155B6" w14:paraId="442F9E7C" w14:textId="77777777" w:rsidTr="00B23523">
        <w:tc>
          <w:tcPr>
            <w:tcW w:w="5636" w:type="dxa"/>
          </w:tcPr>
          <w:p w14:paraId="2E67C957" w14:textId="1E6AFB57" w:rsidR="00305EA5" w:rsidRPr="007155B6" w:rsidRDefault="00221559" w:rsidP="00C21CE2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法律條文本身必須</w:t>
            </w:r>
            <w:proofErr w:type="gramStart"/>
            <w:r w:rsidRPr="007155B6">
              <w:rPr>
                <w:rFonts w:ascii="Times New Roman" w:hAnsi="Times New Roman" w:cs="Times New Roman"/>
              </w:rPr>
              <w:t>清楚，</w:t>
            </w:r>
            <w:proofErr w:type="gramEnd"/>
            <w:r w:rsidRPr="007155B6">
              <w:rPr>
                <w:rFonts w:ascii="Times New Roman" w:hAnsi="Times New Roman" w:cs="Times New Roman"/>
              </w:rPr>
              <w:t>但立法者仍</w:t>
            </w:r>
            <w:r w:rsidR="00305EA5" w:rsidRPr="007155B6">
              <w:rPr>
                <w:rFonts w:ascii="Times New Roman" w:hAnsi="Times New Roman" w:cs="Times New Roman"/>
              </w:rPr>
              <w:t>可使用不確定法律概念</w:t>
            </w:r>
            <w:r w:rsidR="00072E12" w:rsidRPr="007155B6">
              <w:rPr>
                <w:rFonts w:ascii="Times New Roman" w:hAnsi="Times New Roman" w:cs="Times New Roman"/>
              </w:rPr>
              <w:t>。</w:t>
            </w:r>
          </w:p>
          <w:p w14:paraId="7E8EA812" w14:textId="6CD3391A" w:rsidR="00305EA5" w:rsidRPr="007155B6" w:rsidRDefault="00C21CE2" w:rsidP="00C21CE2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不確定法律概念：是</w:t>
            </w:r>
            <w:r w:rsidR="00305EA5" w:rsidRPr="007155B6">
              <w:rPr>
                <w:rFonts w:ascii="Times New Roman" w:hAnsi="Times New Roman" w:cs="Times New Roman"/>
              </w:rPr>
              <w:t>一個空泛</w:t>
            </w:r>
            <w:r w:rsidRPr="007155B6">
              <w:rPr>
                <w:rFonts w:ascii="Times New Roman" w:hAnsi="Times New Roman" w:cs="Times New Roman"/>
              </w:rPr>
              <w:t>的概念，有其方向性，但具體內容為何</w:t>
            </w:r>
            <w:r w:rsidR="00221559" w:rsidRPr="007155B6">
              <w:rPr>
                <w:rFonts w:ascii="Times New Roman" w:hAnsi="Times New Roman" w:cs="Times New Roman"/>
              </w:rPr>
              <w:t>尚</w:t>
            </w:r>
            <w:r w:rsidRPr="007155B6">
              <w:rPr>
                <w:rFonts w:ascii="Times New Roman" w:hAnsi="Times New Roman" w:cs="Times New Roman"/>
              </w:rPr>
              <w:t>不明</w:t>
            </w:r>
            <w:r w:rsidR="00221559" w:rsidRPr="007155B6">
              <w:rPr>
                <w:rFonts w:ascii="Times New Roman" w:hAnsi="Times New Roman" w:cs="Times New Roman"/>
              </w:rPr>
              <w:t>確</w:t>
            </w:r>
            <w:r w:rsidRPr="007155B6">
              <w:rPr>
                <w:rFonts w:ascii="Times New Roman" w:hAnsi="Times New Roman" w:cs="Times New Roman"/>
              </w:rPr>
              <w:t>，因為不可能將所</w:t>
            </w:r>
            <w:r w:rsidRPr="007155B6">
              <w:rPr>
                <w:rFonts w:ascii="Times New Roman" w:hAnsi="Times New Roman" w:cs="Times New Roman"/>
              </w:rPr>
              <w:lastRenderedPageBreak/>
              <w:t>有事</w:t>
            </w:r>
            <w:r w:rsidR="00305EA5" w:rsidRPr="007155B6">
              <w:rPr>
                <w:rFonts w:ascii="Times New Roman" w:hAnsi="Times New Roman" w:cs="Times New Roman"/>
              </w:rPr>
              <w:t>做詳盡的敘述。</w:t>
            </w:r>
          </w:p>
          <w:p w14:paraId="59FEAF7F" w14:textId="6DFE66D5" w:rsidR="00305EA5" w:rsidRPr="007155B6" w:rsidRDefault="00305EA5" w:rsidP="00305EA5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例如憲法第</w:t>
            </w:r>
            <w:r w:rsidRPr="007155B6">
              <w:rPr>
                <w:rFonts w:ascii="Times New Roman" w:hAnsi="Times New Roman" w:cs="Times New Roman"/>
              </w:rPr>
              <w:t>23</w:t>
            </w:r>
            <w:r w:rsidR="00C21CE2" w:rsidRPr="007155B6">
              <w:rPr>
                <w:rFonts w:ascii="Times New Roman" w:hAnsi="Times New Roman" w:cs="Times New Roman"/>
              </w:rPr>
              <w:t>條中，</w:t>
            </w:r>
            <w:r w:rsidRPr="007155B6">
              <w:rPr>
                <w:rFonts w:ascii="Times New Roman" w:eastAsia="新細明體" w:hAnsi="Times New Roman" w:cs="Times New Roman"/>
                <w:b/>
              </w:rPr>
              <w:t>社會秩序</w:t>
            </w:r>
            <w:r w:rsidR="00221559" w:rsidRPr="007155B6">
              <w:rPr>
                <w:rFonts w:ascii="Times New Roman" w:eastAsia="新細明體" w:hAnsi="Times New Roman" w:cs="Times New Roman"/>
              </w:rPr>
              <w:t>或</w:t>
            </w:r>
            <w:r w:rsidRPr="007155B6">
              <w:rPr>
                <w:rFonts w:ascii="Times New Roman" w:eastAsia="新細明體" w:hAnsi="Times New Roman" w:cs="Times New Roman"/>
                <w:b/>
              </w:rPr>
              <w:t>公共利益</w:t>
            </w:r>
            <w:r w:rsidR="00C21CE2" w:rsidRPr="007155B6">
              <w:rPr>
                <w:rFonts w:ascii="Times New Roman" w:eastAsia="新細明體" w:hAnsi="Times New Roman" w:cs="Times New Roman"/>
              </w:rPr>
              <w:t>等詞彙</w:t>
            </w:r>
            <w:r w:rsidR="00C21CE2" w:rsidRPr="007155B6">
              <w:rPr>
                <w:rFonts w:ascii="Times New Roman" w:eastAsia="新細明體" w:hAnsi="Times New Roman" w:cs="Times New Roman"/>
                <w:b/>
              </w:rPr>
              <w:t>，</w:t>
            </w:r>
            <w:r w:rsidR="00C21CE2" w:rsidRPr="007155B6">
              <w:rPr>
                <w:rFonts w:ascii="Times New Roman" w:eastAsia="新細明體" w:hAnsi="Times New Roman" w:cs="Times New Roman"/>
              </w:rPr>
              <w:t>皆是不確定法律概念的運用。</w:t>
            </w:r>
            <w:r w:rsidR="008A3883"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3BBF95B" wp14:editId="6D59FB30">
                  <wp:extent cx="222636" cy="195005"/>
                  <wp:effectExtent l="0" t="0" r="6350" b="0"/>
                  <wp:docPr id="13" name="圖片 1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78E9D1" w14:textId="5E88DF78" w:rsidR="008D069D" w:rsidRPr="007155B6" w:rsidRDefault="008D069D" w:rsidP="00305EA5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司法實務：</w:t>
            </w:r>
          </w:p>
          <w:p w14:paraId="30E64B9E" w14:textId="32180590" w:rsidR="00305EA5" w:rsidRPr="007155B6" w:rsidRDefault="00305EA5" w:rsidP="008D069D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大法官</w:t>
            </w:r>
            <w:r w:rsidR="008D069D" w:rsidRPr="007155B6">
              <w:rPr>
                <w:rFonts w:ascii="Times New Roman" w:hAnsi="Times New Roman" w:cs="Times New Roman"/>
              </w:rPr>
              <w:t>解釋第</w:t>
            </w:r>
            <w:r w:rsidRPr="007155B6">
              <w:rPr>
                <w:rFonts w:ascii="Times New Roman" w:hAnsi="Times New Roman" w:cs="Times New Roman"/>
              </w:rPr>
              <w:t>545</w:t>
            </w:r>
            <w:r w:rsidRPr="007155B6">
              <w:rPr>
                <w:rFonts w:ascii="Times New Roman" w:hAnsi="Times New Roman" w:cs="Times New Roman"/>
              </w:rPr>
              <w:t>號：「</w:t>
            </w:r>
            <w:r w:rsidRPr="007155B6">
              <w:rPr>
                <w:rFonts w:ascii="Times New Roman" w:hAnsi="Times New Roman" w:cs="Times New Roman"/>
              </w:rPr>
              <w:t>…</w:t>
            </w:r>
            <w:r w:rsidRPr="007155B6">
              <w:rPr>
                <w:rFonts w:ascii="Times New Roman" w:hAnsi="Times New Roman" w:cs="Times New Roman"/>
                <w:color w:val="000000"/>
              </w:rPr>
              <w:t>法律就前揭違法或不正當行為無從</w:t>
            </w:r>
            <w:proofErr w:type="gramStart"/>
            <w:r w:rsidRPr="007155B6">
              <w:rPr>
                <w:rFonts w:ascii="Times New Roman" w:hAnsi="Times New Roman" w:cs="Times New Roman"/>
                <w:color w:val="000000"/>
              </w:rPr>
              <w:t>鉅</w:t>
            </w:r>
            <w:proofErr w:type="gramEnd"/>
            <w:r w:rsidRPr="007155B6">
              <w:rPr>
                <w:rFonts w:ascii="Times New Roman" w:hAnsi="Times New Roman" w:cs="Times New Roman"/>
                <w:color w:val="000000"/>
              </w:rPr>
              <w:t>細</w:t>
            </w:r>
            <w:proofErr w:type="gramStart"/>
            <w:r w:rsidRPr="007155B6">
              <w:rPr>
                <w:rFonts w:ascii="Times New Roman" w:hAnsi="Times New Roman" w:cs="Times New Roman"/>
                <w:color w:val="000000"/>
              </w:rPr>
              <w:t>靡遺悉加</w:t>
            </w:r>
            <w:proofErr w:type="gramEnd"/>
            <w:r w:rsidRPr="007155B6">
              <w:rPr>
                <w:rFonts w:ascii="Times New Roman" w:hAnsi="Times New Roman" w:cs="Times New Roman"/>
                <w:color w:val="000000"/>
              </w:rPr>
              <w:t>規定，因以不確定法律概念予以規範，惟其涵義於個案中並非不能經由適當組成之機構依其專業知識及</w:t>
            </w:r>
            <w:proofErr w:type="gramStart"/>
            <w:r w:rsidRPr="007155B6">
              <w:rPr>
                <w:rFonts w:ascii="Times New Roman" w:hAnsi="Times New Roman" w:cs="Times New Roman"/>
                <w:color w:val="000000"/>
              </w:rPr>
              <w:t>社會通念加以</w:t>
            </w:r>
            <w:proofErr w:type="gramEnd"/>
            <w:r w:rsidRPr="007155B6">
              <w:rPr>
                <w:rFonts w:ascii="Times New Roman" w:hAnsi="Times New Roman" w:cs="Times New Roman"/>
                <w:color w:val="000000"/>
              </w:rPr>
              <w:t>認定及判斷，並可由司法審查予以確認，則與法律明確性原則尚無不合，於憲法保障人民權利之意旨亦無牴觸。</w:t>
            </w:r>
            <w:r w:rsidRPr="007155B6">
              <w:rPr>
                <w:rFonts w:ascii="Times New Roman" w:hAnsi="Times New Roman" w:cs="Times New Roman"/>
                <w:color w:val="000000"/>
              </w:rPr>
              <w:t>…</w:t>
            </w:r>
            <w:r w:rsidRPr="007155B6">
              <w:rPr>
                <w:rFonts w:ascii="Times New Roman" w:hAnsi="Times New Roman" w:cs="Times New Roman"/>
              </w:rPr>
              <w:t>」</w:t>
            </w:r>
            <w:r w:rsidR="008A3883"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E9A4332" wp14:editId="5F10C5DB">
                  <wp:extent cx="222636" cy="195005"/>
                  <wp:effectExtent l="0" t="0" r="6350" b="0"/>
                  <wp:docPr id="6" name="圖片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83661F" w14:textId="1261340A" w:rsidR="008D069D" w:rsidRPr="007155B6" w:rsidRDefault="008D069D" w:rsidP="008D069D">
            <w:pPr>
              <w:pStyle w:val="a3"/>
              <w:numPr>
                <w:ilvl w:val="0"/>
                <w:numId w:val="22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大法官解釋第</w:t>
            </w:r>
            <w:r w:rsidRPr="007155B6">
              <w:rPr>
                <w:rFonts w:ascii="Times New Roman" w:hAnsi="Times New Roman" w:cs="Times New Roman"/>
              </w:rPr>
              <w:t>636</w:t>
            </w:r>
            <w:r w:rsidRPr="007155B6">
              <w:rPr>
                <w:rFonts w:ascii="Times New Roman" w:hAnsi="Times New Roman" w:cs="Times New Roman"/>
              </w:rPr>
              <w:t>號認為，《檢肅流氓條例》中認定流氓之法條，例如霸佔地盤、白吃白喝等法律用語即是不夠明確。</w:t>
            </w:r>
          </w:p>
          <w:p w14:paraId="1BCE9DE5" w14:textId="1E6E09E9" w:rsidR="00C21CE2" w:rsidRPr="007155B6" w:rsidRDefault="00C21CE2" w:rsidP="00C21CE2">
            <w:pPr>
              <w:pStyle w:val="a3"/>
              <w:numPr>
                <w:ilvl w:val="0"/>
                <w:numId w:val="20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判斷標準：</w:t>
            </w:r>
          </w:p>
          <w:p w14:paraId="471487D8" w14:textId="697E3740" w:rsidR="00BA1E36" w:rsidRPr="007155B6" w:rsidRDefault="00221559" w:rsidP="00C21CE2">
            <w:pPr>
              <w:pStyle w:val="HTML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人民</w:t>
            </w:r>
            <w:r w:rsidR="00BA1E36" w:rsidRPr="007155B6">
              <w:rPr>
                <w:rFonts w:ascii="Times New Roman" w:hAnsi="Times New Roman" w:cs="Times New Roman"/>
              </w:rPr>
              <w:t>能理解與判斷此規範目的</w:t>
            </w:r>
            <w:r w:rsidR="008D069D" w:rsidRPr="007155B6">
              <w:rPr>
                <w:rFonts w:ascii="Times New Roman" w:hAnsi="Times New Roman" w:cs="Times New Roman"/>
              </w:rPr>
              <w:t>。</w:t>
            </w:r>
          </w:p>
          <w:p w14:paraId="1CE2C1BA" w14:textId="42EC193D" w:rsidR="00BA1E36" w:rsidRPr="007155B6" w:rsidRDefault="00BA1E36" w:rsidP="00C21CE2">
            <w:pPr>
              <w:pStyle w:val="HTML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對於規範結果可得預見</w:t>
            </w:r>
            <w:r w:rsidR="008D069D" w:rsidRPr="007155B6">
              <w:rPr>
                <w:rFonts w:ascii="Times New Roman" w:hAnsi="Times New Roman" w:cs="Times New Roman"/>
              </w:rPr>
              <w:t>。</w:t>
            </w:r>
          </w:p>
          <w:p w14:paraId="7C32CEAC" w14:textId="55B60509" w:rsidR="00305EA5" w:rsidRPr="007155B6" w:rsidRDefault="00BA1E36" w:rsidP="008D069D">
            <w:pPr>
              <w:pStyle w:val="HTML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須能經由司法機關進行審查加以確認</w:t>
            </w:r>
            <w:r w:rsidR="008D069D" w:rsidRPr="007155B6">
              <w:rPr>
                <w:rFonts w:ascii="Times New Roman" w:hAnsi="Times New Roman" w:cs="Times New Roman"/>
              </w:rPr>
              <w:t>。</w:t>
            </w:r>
          </w:p>
        </w:tc>
      </w:tr>
    </w:tbl>
    <w:p w14:paraId="6EE5455C" w14:textId="4B31D219" w:rsidR="00681E1C" w:rsidRPr="007155B6" w:rsidRDefault="00681E1C" w:rsidP="00681E1C">
      <w:pPr>
        <w:pStyle w:val="a3"/>
        <w:numPr>
          <w:ilvl w:val="0"/>
          <w:numId w:val="8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lastRenderedPageBreak/>
        <w:t>授權是否明確</w:t>
      </w:r>
      <w:r w:rsidR="00737B1B" w:rsidRPr="007155B6">
        <w:rPr>
          <w:rFonts w:ascii="Times New Roman" w:hAnsi="Times New Roman" w:cs="Times New Roman"/>
        </w:rPr>
        <w:t>（</w:t>
      </w:r>
      <w:r w:rsidR="00305EA5" w:rsidRPr="007155B6">
        <w:rPr>
          <w:rFonts w:ascii="Times New Roman" w:hAnsi="Times New Roman" w:cs="Times New Roman"/>
        </w:rPr>
        <w:t>授權明確性</w:t>
      </w:r>
      <w:r w:rsidR="00737B1B" w:rsidRPr="007155B6">
        <w:rPr>
          <w:rFonts w:ascii="Times New Roman" w:hAnsi="Times New Roman" w:cs="Times New Roman"/>
        </w:rPr>
        <w:t>）</w:t>
      </w:r>
    </w:p>
    <w:tbl>
      <w:tblPr>
        <w:tblStyle w:val="a8"/>
        <w:tblW w:w="0" w:type="auto"/>
        <w:tblInd w:w="2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BA1E36" w:rsidRPr="007155B6" w14:paraId="3A5CACC0" w14:textId="77777777" w:rsidTr="00B23523">
        <w:tc>
          <w:tcPr>
            <w:tcW w:w="5636" w:type="dxa"/>
          </w:tcPr>
          <w:p w14:paraId="773895F6" w14:textId="291BADFB" w:rsidR="00737B1B" w:rsidRPr="007155B6" w:rsidRDefault="00737B1B" w:rsidP="00A53FC3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原則上，人民授權立法者</w:t>
            </w:r>
            <w:r w:rsidR="00221559" w:rsidRPr="007155B6">
              <w:rPr>
                <w:rFonts w:ascii="Times New Roman" w:hAnsi="Times New Roman" w:cs="Times New Roman"/>
              </w:rPr>
              <w:t>後，立法者即不應</w:t>
            </w:r>
            <w:r w:rsidRPr="007155B6">
              <w:rPr>
                <w:rFonts w:ascii="Times New Roman" w:hAnsi="Times New Roman" w:cs="Times New Roman"/>
              </w:rPr>
              <w:t>再將</w:t>
            </w:r>
            <w:proofErr w:type="gramStart"/>
            <w:r w:rsidRPr="007155B6">
              <w:rPr>
                <w:rFonts w:ascii="Times New Roman" w:hAnsi="Times New Roman" w:cs="Times New Roman"/>
              </w:rPr>
              <w:t>權力授讓出去</w:t>
            </w:r>
            <w:proofErr w:type="gramEnd"/>
            <w:r w:rsidRPr="007155B6">
              <w:rPr>
                <w:rFonts w:ascii="Times New Roman" w:hAnsi="Times New Roman" w:cs="Times New Roman"/>
              </w:rPr>
              <w:t>（禁止再授權原則）；然而在今日複雜多元的社會中，立法者授權行政機關訂定規範成為必然。</w:t>
            </w:r>
          </w:p>
          <w:p w14:paraId="5DA8FA22" w14:textId="66CFB209" w:rsidR="00737B1B" w:rsidRPr="007155B6" w:rsidRDefault="00737B1B" w:rsidP="00A53FC3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授權合理：</w:t>
            </w:r>
            <w:r w:rsidR="00221559" w:rsidRPr="007155B6">
              <w:rPr>
                <w:rFonts w:ascii="Times New Roman" w:hAnsi="Times New Roman" w:cs="Times New Roman"/>
              </w:rPr>
              <w:t>在委任立法無法避免的現今社會，</w:t>
            </w:r>
            <w:r w:rsidRPr="007155B6">
              <w:rPr>
                <w:rFonts w:ascii="Times New Roman" w:hAnsi="Times New Roman" w:cs="Times New Roman"/>
              </w:rPr>
              <w:t>禁止再授權與授權必要性</w:t>
            </w:r>
            <w:r w:rsidR="00221559" w:rsidRPr="007155B6">
              <w:rPr>
                <w:rFonts w:ascii="Times New Roman" w:hAnsi="Times New Roman" w:cs="Times New Roman"/>
              </w:rPr>
              <w:t>二者</w:t>
            </w:r>
            <w:r w:rsidR="00A53FC3" w:rsidRPr="007155B6">
              <w:rPr>
                <w:rFonts w:ascii="Times New Roman" w:hAnsi="Times New Roman" w:cs="Times New Roman"/>
              </w:rPr>
              <w:t>之</w:t>
            </w:r>
            <w:r w:rsidR="00221559" w:rsidRPr="007155B6">
              <w:rPr>
                <w:rFonts w:ascii="Times New Roman" w:hAnsi="Times New Roman" w:cs="Times New Roman"/>
              </w:rPr>
              <w:t>間必須取得</w:t>
            </w:r>
            <w:r w:rsidRPr="007155B6">
              <w:rPr>
                <w:rFonts w:ascii="Times New Roman" w:hAnsi="Times New Roman" w:cs="Times New Roman"/>
              </w:rPr>
              <w:t>平衡。</w:t>
            </w:r>
          </w:p>
          <w:p w14:paraId="7F048D4A" w14:textId="12A51098" w:rsidR="00BD7623" w:rsidRPr="007155B6" w:rsidRDefault="00BD7623" w:rsidP="00A53FC3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禁止</w:t>
            </w:r>
            <w:r w:rsidR="00737B1B" w:rsidRPr="007155B6">
              <w:rPr>
                <w:rFonts w:ascii="Times New Roman" w:hAnsi="Times New Roman" w:cs="Times New Roman"/>
              </w:rPr>
              <w:t>空白授權的理由：</w:t>
            </w:r>
          </w:p>
          <w:p w14:paraId="32AA4C7A" w14:textId="77777777" w:rsidR="00A53FC3" w:rsidRPr="007155B6" w:rsidRDefault="00A53FC3" w:rsidP="00A53FC3">
            <w:pPr>
              <w:pStyle w:val="a3"/>
              <w:numPr>
                <w:ilvl w:val="1"/>
                <w:numId w:val="2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行政權凌駕立法權之上。</w:t>
            </w:r>
          </w:p>
          <w:p w14:paraId="4A44AF06" w14:textId="75063F8F" w:rsidR="00A53FC3" w:rsidRPr="007155B6" w:rsidRDefault="00A53FC3" w:rsidP="00A53FC3">
            <w:pPr>
              <w:pStyle w:val="a3"/>
              <w:numPr>
                <w:ilvl w:val="1"/>
                <w:numId w:val="2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7155B6">
              <w:rPr>
                <w:rFonts w:ascii="Times New Roman" w:hAnsi="Times New Roman" w:cs="Times New Roman"/>
              </w:rPr>
              <w:t>民主課責問題</w:t>
            </w:r>
            <w:proofErr w:type="gramEnd"/>
            <w:r w:rsidRPr="007155B6">
              <w:rPr>
                <w:rFonts w:ascii="Times New Roman" w:hAnsi="Times New Roman" w:cs="Times New Roman"/>
              </w:rPr>
              <w:t>：立法者為民選的，可用選舉方式直接對其監督；但是人民無法</w:t>
            </w:r>
            <w:proofErr w:type="gramStart"/>
            <w:r w:rsidRPr="007155B6">
              <w:rPr>
                <w:rFonts w:ascii="Times New Roman" w:hAnsi="Times New Roman" w:cs="Times New Roman"/>
              </w:rPr>
              <w:t>直接課責行政</w:t>
            </w:r>
            <w:proofErr w:type="gramEnd"/>
            <w:r w:rsidRPr="007155B6">
              <w:rPr>
                <w:rFonts w:ascii="Times New Roman" w:hAnsi="Times New Roman" w:cs="Times New Roman"/>
              </w:rPr>
              <w:t>機關。</w:t>
            </w:r>
          </w:p>
          <w:p w14:paraId="47FB56B1" w14:textId="4FBA8669" w:rsidR="00A53FC3" w:rsidRPr="007155B6" w:rsidRDefault="00A53FC3" w:rsidP="00A53FC3">
            <w:pPr>
              <w:pStyle w:val="a3"/>
              <w:numPr>
                <w:ilvl w:val="1"/>
                <w:numId w:val="25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直接違反憲法第</w:t>
            </w:r>
            <w:r w:rsidRPr="007155B6">
              <w:rPr>
                <w:rFonts w:ascii="Times New Roman" w:hAnsi="Times New Roman" w:cs="Times New Roman"/>
              </w:rPr>
              <w:t>63</w:t>
            </w:r>
            <w:r w:rsidRPr="007155B6">
              <w:rPr>
                <w:rFonts w:ascii="Times New Roman" w:hAnsi="Times New Roman" w:cs="Times New Roman"/>
              </w:rPr>
              <w:t>條：「立法院有議決法律</w:t>
            </w:r>
            <w:r w:rsidRPr="007155B6">
              <w:rPr>
                <w:rFonts w:ascii="Times New Roman" w:hAnsi="Times New Roman" w:cs="Times New Roman"/>
              </w:rPr>
              <w:lastRenderedPageBreak/>
              <w:t>案、預算案、戒嚴案、大赦案、宣戰案、媾和案、條約案及國家其他重要事項之權。」</w:t>
            </w:r>
            <w:r w:rsidR="008A3883"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41C33752" wp14:editId="792E2212">
                  <wp:extent cx="222636" cy="195005"/>
                  <wp:effectExtent l="0" t="0" r="6350" b="0"/>
                  <wp:docPr id="11" name="圖片 11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F32899" w14:textId="6F11F52F" w:rsidR="00A53FC3" w:rsidRPr="007155B6" w:rsidRDefault="00A53FC3" w:rsidP="00A53FC3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大法官解釋第</w:t>
            </w:r>
            <w:r w:rsidRPr="007155B6">
              <w:rPr>
                <w:rFonts w:ascii="Times New Roman" w:hAnsi="Times New Roman" w:cs="Times New Roman"/>
              </w:rPr>
              <w:t>680</w:t>
            </w:r>
            <w:r w:rsidRPr="007155B6">
              <w:rPr>
                <w:rFonts w:ascii="Times New Roman" w:hAnsi="Times New Roman" w:cs="Times New Roman"/>
              </w:rPr>
              <w:t>號：「</w:t>
            </w:r>
            <w:r w:rsidRPr="007155B6">
              <w:rPr>
                <w:rFonts w:ascii="Times New Roman" w:hAnsi="Times New Roman" w:cs="Times New Roman"/>
              </w:rPr>
              <w:t>…</w:t>
            </w:r>
            <w:r w:rsidRPr="007155B6">
              <w:rPr>
                <w:rFonts w:ascii="Times New Roman" w:hAnsi="Times New Roman" w:cs="Times New Roman"/>
                <w:color w:val="000000"/>
              </w:rPr>
              <w:t>懲治走私條例第二條第一項所科處之刑罰，對人民之自由及財產權影響極為嚴重。然有關管制物品之項目及數額等犯罪構成要件內容，同條第三項則全部委由行政院公告之，既未規定為何種目的而為管制，亦未指明於公告管制物品項目及數額時應考量之因素，且授權之母法亦乏其他可據以推論相關事項之規定可</w:t>
            </w:r>
            <w:proofErr w:type="gramStart"/>
            <w:r w:rsidRPr="007155B6">
              <w:rPr>
                <w:rFonts w:ascii="Times New Roman" w:hAnsi="Times New Roman" w:cs="Times New Roman"/>
                <w:color w:val="000000"/>
              </w:rPr>
              <w:t>稽</w:t>
            </w:r>
            <w:proofErr w:type="gramEnd"/>
            <w:r w:rsidRPr="007155B6">
              <w:rPr>
                <w:rFonts w:ascii="Times New Roman" w:hAnsi="Times New Roman" w:cs="Times New Roman"/>
                <w:color w:val="000000"/>
              </w:rPr>
              <w:t>，必須從行政院訂定公告之『管制物品項目及其數額』中，始能知悉可罰行為之內容，</w:t>
            </w:r>
            <w:proofErr w:type="gramStart"/>
            <w:r w:rsidRPr="007155B6">
              <w:rPr>
                <w:rFonts w:ascii="Times New Roman" w:hAnsi="Times New Roman" w:cs="Times New Roman"/>
                <w:color w:val="000000"/>
              </w:rPr>
              <w:t>另縱由</w:t>
            </w:r>
            <w:proofErr w:type="gramEnd"/>
            <w:r w:rsidRPr="007155B6">
              <w:rPr>
                <w:rFonts w:ascii="Times New Roman" w:hAnsi="Times New Roman" w:cs="Times New Roman"/>
                <w:color w:val="000000"/>
              </w:rPr>
              <w:t>懲治走私條例整體觀察，亦無從預見私運何種物品達何等數額將因公告而有受處罰之可能，自屬授權不明確，而與上述憲法保障人民權利之意旨不符。</w:t>
            </w:r>
            <w:r w:rsidRPr="007155B6">
              <w:rPr>
                <w:rFonts w:ascii="Times New Roman" w:hAnsi="Times New Roman" w:cs="Times New Roman"/>
                <w:color w:val="000000"/>
              </w:rPr>
              <w:t>…</w:t>
            </w:r>
            <w:r w:rsidRPr="007155B6">
              <w:rPr>
                <w:rFonts w:ascii="Times New Roman" w:hAnsi="Times New Roman" w:cs="Times New Roman"/>
              </w:rPr>
              <w:t>」</w:t>
            </w:r>
            <w:r w:rsidR="008A3883"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EF80AB5" wp14:editId="7EF53AE9">
                  <wp:extent cx="222636" cy="195005"/>
                  <wp:effectExtent l="0" t="0" r="6350" b="0"/>
                  <wp:docPr id="5" name="圖片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A9F028F" w14:textId="32840343" w:rsidR="00A53FC3" w:rsidRPr="007155B6" w:rsidRDefault="00131D9F" w:rsidP="00A53FC3">
            <w:pPr>
              <w:pStyle w:val="a3"/>
              <w:numPr>
                <w:ilvl w:val="0"/>
                <w:numId w:val="23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德國法上的</w:t>
            </w:r>
            <w:r w:rsidR="00A53FC3" w:rsidRPr="007155B6">
              <w:rPr>
                <w:rFonts w:ascii="Times New Roman" w:hAnsi="Times New Roman" w:cs="Times New Roman"/>
              </w:rPr>
              <w:t>判斷標準：</w:t>
            </w:r>
          </w:p>
          <w:p w14:paraId="2590D7BD" w14:textId="3B40758E" w:rsidR="00430F34" w:rsidRPr="007155B6" w:rsidRDefault="00A53FC3" w:rsidP="00A53FC3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目的明確。</w:t>
            </w:r>
          </w:p>
          <w:p w14:paraId="04046874" w14:textId="310497F1" w:rsidR="00430F34" w:rsidRPr="007155B6" w:rsidRDefault="00430F34" w:rsidP="00A53FC3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方法</w:t>
            </w:r>
            <w:r w:rsidRPr="007155B6">
              <w:rPr>
                <w:rFonts w:ascii="Times New Roman" w:hAnsi="Times New Roman" w:cs="Times New Roman"/>
              </w:rPr>
              <w:t>/</w:t>
            </w:r>
            <w:r w:rsidR="00A53FC3" w:rsidRPr="007155B6">
              <w:rPr>
                <w:rFonts w:ascii="Times New Roman" w:hAnsi="Times New Roman" w:cs="Times New Roman"/>
              </w:rPr>
              <w:t>內容明確。</w:t>
            </w:r>
          </w:p>
          <w:p w14:paraId="0C2674D4" w14:textId="49CAB1A8" w:rsidR="00430F34" w:rsidRPr="007155B6" w:rsidRDefault="00A53FC3" w:rsidP="00430F34">
            <w:pPr>
              <w:pStyle w:val="a3"/>
              <w:numPr>
                <w:ilvl w:val="0"/>
                <w:numId w:val="26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範圍明確。</w:t>
            </w:r>
          </w:p>
        </w:tc>
      </w:tr>
    </w:tbl>
    <w:p w14:paraId="6CA2D753" w14:textId="77777777" w:rsidR="00DF4879" w:rsidRPr="007155B6" w:rsidRDefault="00DF4879" w:rsidP="00DF4879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lastRenderedPageBreak/>
        <w:t>比例原則</w:t>
      </w:r>
    </w:p>
    <w:tbl>
      <w:tblPr>
        <w:tblStyle w:val="a8"/>
        <w:tblW w:w="0" w:type="auto"/>
        <w:tblInd w:w="21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56"/>
      </w:tblGrid>
      <w:tr w:rsidR="00CB406D" w:rsidRPr="007155B6" w14:paraId="03F300E5" w14:textId="77777777" w:rsidTr="00B23523">
        <w:tc>
          <w:tcPr>
            <w:tcW w:w="8356" w:type="dxa"/>
          </w:tcPr>
          <w:p w14:paraId="1D8B8092" w14:textId="16A48422" w:rsidR="0068436F" w:rsidRPr="007155B6" w:rsidRDefault="006572DE" w:rsidP="0068436F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從德國警察法領域發展出來</w:t>
            </w:r>
            <w:r w:rsidR="003674D3" w:rsidRPr="007155B6">
              <w:rPr>
                <w:rFonts w:ascii="Times New Roman" w:hAnsi="Times New Roman" w:cs="Times New Roman"/>
              </w:rPr>
              <w:t>。</w:t>
            </w:r>
          </w:p>
          <w:p w14:paraId="03949C2B" w14:textId="5915BD01" w:rsidR="006572DE" w:rsidRPr="007155B6" w:rsidRDefault="0068436F" w:rsidP="0068436F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指國家</w:t>
            </w:r>
            <w:r w:rsidR="006572DE" w:rsidRPr="007155B6">
              <w:rPr>
                <w:rFonts w:ascii="Times New Roman" w:hAnsi="Times New Roman" w:cs="Times New Roman"/>
              </w:rPr>
              <w:t>行為</w:t>
            </w:r>
            <w:r w:rsidR="003674D3" w:rsidRPr="007155B6">
              <w:rPr>
                <w:rFonts w:ascii="Times New Roman" w:hAnsi="Times New Roman" w:cs="Times New Roman"/>
              </w:rPr>
              <w:t>必</w:t>
            </w:r>
            <w:r w:rsidR="006572DE" w:rsidRPr="007155B6">
              <w:rPr>
                <w:rFonts w:ascii="Times New Roman" w:hAnsi="Times New Roman" w:cs="Times New Roman"/>
              </w:rPr>
              <w:t>須符合比例，</w:t>
            </w:r>
            <w:r w:rsidR="003674D3" w:rsidRPr="007155B6">
              <w:rPr>
                <w:rFonts w:ascii="Times New Roman" w:hAnsi="Times New Roman" w:cs="Times New Roman"/>
              </w:rPr>
              <w:t>亦即</w:t>
            </w:r>
            <w:r w:rsidR="006572DE" w:rsidRPr="007155B6">
              <w:rPr>
                <w:rFonts w:ascii="Times New Roman" w:hAnsi="Times New Roman" w:cs="Times New Roman"/>
              </w:rPr>
              <w:t>不</w:t>
            </w:r>
            <w:r w:rsidR="003674D3" w:rsidRPr="007155B6">
              <w:rPr>
                <w:rFonts w:ascii="Times New Roman" w:hAnsi="Times New Roman" w:cs="Times New Roman"/>
              </w:rPr>
              <w:t>能</w:t>
            </w:r>
            <w:r w:rsidR="006572DE" w:rsidRPr="007155B6">
              <w:rPr>
                <w:rFonts w:ascii="Times New Roman" w:hAnsi="Times New Roman" w:cs="Times New Roman"/>
              </w:rPr>
              <w:t>「用大砲轟麻雀」</w:t>
            </w:r>
            <w:r w:rsidR="003674D3" w:rsidRPr="007155B6">
              <w:rPr>
                <w:rFonts w:ascii="Times New Roman" w:hAnsi="Times New Roman" w:cs="Times New Roman"/>
              </w:rPr>
              <w:t>或</w:t>
            </w:r>
            <w:r w:rsidRPr="007155B6">
              <w:rPr>
                <w:rFonts w:ascii="Times New Roman" w:hAnsi="Times New Roman" w:cs="Times New Roman"/>
              </w:rPr>
              <w:t>是</w:t>
            </w:r>
            <w:r w:rsidR="006572DE" w:rsidRPr="007155B6">
              <w:rPr>
                <w:rFonts w:ascii="Times New Roman" w:hAnsi="Times New Roman" w:cs="Times New Roman"/>
              </w:rPr>
              <w:t>「殺雞用牛刀」。</w:t>
            </w:r>
          </w:p>
          <w:p w14:paraId="5FA97B7B" w14:textId="5966C2E6" w:rsidR="003674D3" w:rsidRPr="007155B6" w:rsidRDefault="0068436F" w:rsidP="0068436F">
            <w:pPr>
              <w:pStyle w:val="a3"/>
              <w:numPr>
                <w:ilvl w:val="0"/>
                <w:numId w:val="27"/>
              </w:numPr>
              <w:ind w:leftChars="0"/>
              <w:jc w:val="both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</w:rPr>
              <w:t>是公法領域的帝王條款，國家</w:t>
            </w:r>
            <w:r w:rsidR="006572DE" w:rsidRPr="007155B6">
              <w:rPr>
                <w:rFonts w:ascii="Times New Roman" w:hAnsi="Times New Roman" w:cs="Times New Roman"/>
              </w:rPr>
              <w:t>作為</w:t>
            </w:r>
            <w:r w:rsidRPr="007155B6">
              <w:rPr>
                <w:rFonts w:ascii="Times New Roman" w:hAnsi="Times New Roman" w:cs="Times New Roman"/>
              </w:rPr>
              <w:t>必須</w:t>
            </w:r>
            <w:r w:rsidR="006572DE" w:rsidRPr="007155B6">
              <w:rPr>
                <w:rFonts w:ascii="Times New Roman" w:hAnsi="Times New Roman" w:cs="Times New Roman"/>
              </w:rPr>
              <w:t>時時刻刻遵循此原則。</w:t>
            </w:r>
          </w:p>
        </w:tc>
      </w:tr>
    </w:tbl>
    <w:p w14:paraId="3E2B8390" w14:textId="77777777" w:rsidR="00681E1C" w:rsidRPr="007155B6" w:rsidRDefault="00681E1C" w:rsidP="00681E1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目的是否正當</w:t>
      </w:r>
    </w:p>
    <w:tbl>
      <w:tblPr>
        <w:tblStyle w:val="a8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6572DE" w:rsidRPr="007155B6" w14:paraId="3A0A5C1D" w14:textId="77777777" w:rsidTr="00B23523">
        <w:tc>
          <w:tcPr>
            <w:tcW w:w="8356" w:type="dxa"/>
          </w:tcPr>
          <w:p w14:paraId="14DE9517" w14:textId="67306C08" w:rsidR="00791BEE" w:rsidRPr="007155B6" w:rsidRDefault="003C75C0" w:rsidP="003C75C0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  <w:b/>
              </w:rPr>
              <w:t>適當性原則</w:t>
            </w:r>
            <w:r w:rsidRPr="007155B6">
              <w:rPr>
                <w:rFonts w:ascii="Times New Roman" w:hAnsi="Times New Roman" w:cs="Times New Roman"/>
              </w:rPr>
              <w:t>：國家行為是</w:t>
            </w:r>
            <w:r w:rsidR="00203E0A" w:rsidRPr="007155B6">
              <w:rPr>
                <w:rFonts w:ascii="Times New Roman" w:hAnsi="Times New Roman" w:cs="Times New Roman"/>
              </w:rPr>
              <w:t>否適當，判斷時應思考做此行為的目的是否適當。</w:t>
            </w:r>
            <w:r w:rsidRPr="007155B6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14:paraId="26630142" w14:textId="77777777" w:rsidR="00681E1C" w:rsidRPr="007155B6" w:rsidRDefault="00681E1C" w:rsidP="00681E1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手段是否有助於目的之達成，二者之間是否成比例</w:t>
      </w:r>
    </w:p>
    <w:tbl>
      <w:tblPr>
        <w:tblStyle w:val="a8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203E0A" w:rsidRPr="007155B6" w14:paraId="7F1108D9" w14:textId="77777777" w:rsidTr="00B23523">
        <w:tc>
          <w:tcPr>
            <w:tcW w:w="8356" w:type="dxa"/>
          </w:tcPr>
          <w:p w14:paraId="114E2C95" w14:textId="47AD64C5" w:rsidR="00203E0A" w:rsidRPr="007155B6" w:rsidRDefault="00791BEE" w:rsidP="00203E0A">
            <w:pPr>
              <w:pStyle w:val="a3"/>
              <w:ind w:leftChars="0" w:left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  <w:b/>
              </w:rPr>
              <w:t>必要性原則</w:t>
            </w:r>
            <w:r w:rsidRPr="007155B6">
              <w:rPr>
                <w:rFonts w:ascii="Times New Roman" w:hAnsi="Times New Roman" w:cs="Times New Roman"/>
              </w:rPr>
              <w:t>：目的與手段之間是否能夠連結，手段是否真有助於目的的達成。</w:t>
            </w:r>
          </w:p>
        </w:tc>
      </w:tr>
    </w:tbl>
    <w:p w14:paraId="35D07E36" w14:textId="77777777" w:rsidR="00203E0A" w:rsidRPr="007155B6" w:rsidRDefault="00203E0A" w:rsidP="00203E0A">
      <w:pPr>
        <w:pStyle w:val="a3"/>
        <w:ind w:leftChars="0" w:left="2880"/>
        <w:rPr>
          <w:rFonts w:ascii="Times New Roman" w:hAnsi="Times New Roman" w:cs="Times New Roman"/>
        </w:rPr>
      </w:pPr>
    </w:p>
    <w:p w14:paraId="3F340191" w14:textId="1A4CC7FD" w:rsidR="00681E1C" w:rsidRPr="007155B6" w:rsidRDefault="00131D9F" w:rsidP="00681E1C">
      <w:pPr>
        <w:pStyle w:val="a3"/>
        <w:numPr>
          <w:ilvl w:val="0"/>
          <w:numId w:val="9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狹義比例原則</w:t>
      </w:r>
    </w:p>
    <w:tbl>
      <w:tblPr>
        <w:tblStyle w:val="a8"/>
        <w:tblW w:w="0" w:type="auto"/>
        <w:tblInd w:w="28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36"/>
      </w:tblGrid>
      <w:tr w:rsidR="00203E0A" w:rsidRPr="007155B6" w14:paraId="6212A6C0" w14:textId="77777777" w:rsidTr="00B23523">
        <w:tc>
          <w:tcPr>
            <w:tcW w:w="8356" w:type="dxa"/>
          </w:tcPr>
          <w:p w14:paraId="14AB5F49" w14:textId="75BBDBF7" w:rsidR="00203E0A" w:rsidRPr="007155B6" w:rsidRDefault="00131D9F" w:rsidP="003C75C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  <w:b/>
              </w:rPr>
              <w:t>最小侵害</w:t>
            </w:r>
            <w:r w:rsidR="00791BEE" w:rsidRPr="007155B6">
              <w:rPr>
                <w:rFonts w:ascii="Times New Roman" w:hAnsi="Times New Roman" w:cs="Times New Roman"/>
                <w:b/>
              </w:rPr>
              <w:t>原則</w:t>
            </w:r>
            <w:r w:rsidRPr="007155B6">
              <w:rPr>
                <w:rFonts w:ascii="Times New Roman" w:hAnsi="Times New Roman" w:cs="Times New Roman"/>
              </w:rPr>
              <w:t>：在諸多可能的選項裡，是否選擇對人民</w:t>
            </w:r>
            <w:r w:rsidR="00791BEE" w:rsidRPr="007155B6">
              <w:rPr>
                <w:rFonts w:ascii="Times New Roman" w:hAnsi="Times New Roman" w:cs="Times New Roman"/>
              </w:rPr>
              <w:t>侵害最小之手段。</w:t>
            </w:r>
          </w:p>
          <w:p w14:paraId="2D3B96BD" w14:textId="155F2907" w:rsidR="00791BEE" w:rsidRPr="007155B6" w:rsidRDefault="00791BEE" w:rsidP="003C75C0">
            <w:pPr>
              <w:pStyle w:val="a3"/>
              <w:numPr>
                <w:ilvl w:val="0"/>
                <w:numId w:val="28"/>
              </w:numPr>
              <w:ind w:leftChars="0"/>
              <w:rPr>
                <w:rFonts w:ascii="Times New Roman" w:hAnsi="Times New Roman" w:cs="Times New Roman"/>
              </w:rPr>
            </w:pPr>
            <w:r w:rsidRPr="007155B6">
              <w:rPr>
                <w:rFonts w:ascii="Times New Roman" w:hAnsi="Times New Roman" w:cs="Times New Roman"/>
                <w:b/>
              </w:rPr>
              <w:t>衡量性原則</w:t>
            </w:r>
            <w:r w:rsidRPr="007155B6">
              <w:rPr>
                <w:rFonts w:ascii="Times New Roman" w:hAnsi="Times New Roman" w:cs="Times New Roman"/>
              </w:rPr>
              <w:t>：國家採取</w:t>
            </w:r>
            <w:r w:rsidR="00E44B05" w:rsidRPr="007155B6">
              <w:rPr>
                <w:rFonts w:ascii="Times New Roman" w:hAnsi="Times New Roman" w:cs="Times New Roman"/>
              </w:rPr>
              <w:t>的</w:t>
            </w:r>
            <w:r w:rsidRPr="007155B6">
              <w:rPr>
                <w:rFonts w:ascii="Times New Roman" w:hAnsi="Times New Roman" w:cs="Times New Roman"/>
              </w:rPr>
              <w:t>措施所造成之侵害，與實行此措施所帶來之利益之間是否成比例。</w:t>
            </w:r>
          </w:p>
        </w:tc>
      </w:tr>
    </w:tbl>
    <w:p w14:paraId="492CE12E" w14:textId="25C31EED" w:rsidR="00DF4879" w:rsidRPr="007155B6" w:rsidRDefault="00DF4879" w:rsidP="00DF4879">
      <w:pPr>
        <w:pStyle w:val="a3"/>
        <w:numPr>
          <w:ilvl w:val="0"/>
          <w:numId w:val="7"/>
        </w:numPr>
        <w:ind w:leftChars="0"/>
        <w:rPr>
          <w:rFonts w:ascii="Times New Roman" w:hAnsi="Times New Roman" w:cs="Times New Roman"/>
          <w:color w:val="FF0000"/>
        </w:rPr>
      </w:pPr>
      <w:r w:rsidRPr="007155B6">
        <w:rPr>
          <w:rFonts w:ascii="Times New Roman" w:hAnsi="Times New Roman" w:cs="Times New Roman"/>
          <w:color w:val="000000" w:themeColor="text1"/>
        </w:rPr>
        <w:t>平等原則</w:t>
      </w:r>
      <w:r w:rsidR="00131D9F" w:rsidRPr="007155B6">
        <w:rPr>
          <w:rFonts w:ascii="Times New Roman" w:hAnsi="Times New Roman" w:cs="Times New Roman"/>
          <w:color w:val="000000" w:themeColor="text1"/>
        </w:rPr>
        <w:t>：在某些</w:t>
      </w:r>
      <w:proofErr w:type="gramStart"/>
      <w:r w:rsidR="00131D9F" w:rsidRPr="007155B6">
        <w:rPr>
          <w:rFonts w:ascii="Times New Roman" w:hAnsi="Times New Roman" w:cs="Times New Roman"/>
          <w:color w:val="000000" w:themeColor="text1"/>
        </w:rPr>
        <w:t>案型下</w:t>
      </w:r>
      <w:proofErr w:type="gramEnd"/>
      <w:r w:rsidR="00131D9F" w:rsidRPr="007155B6">
        <w:rPr>
          <w:rFonts w:ascii="Times New Roman" w:hAnsi="Times New Roman" w:cs="Times New Roman"/>
          <w:color w:val="000000" w:themeColor="text1"/>
        </w:rPr>
        <w:t>，尚須思考平等原則，</w:t>
      </w:r>
      <w:proofErr w:type="gramStart"/>
      <w:r w:rsidR="00131D9F" w:rsidRPr="007155B6">
        <w:rPr>
          <w:rFonts w:ascii="Times New Roman" w:hAnsi="Times New Roman" w:cs="Times New Roman"/>
          <w:color w:val="000000" w:themeColor="text1"/>
        </w:rPr>
        <w:t>後講次將</w:t>
      </w:r>
      <w:proofErr w:type="gramEnd"/>
      <w:r w:rsidR="00131D9F" w:rsidRPr="007155B6">
        <w:rPr>
          <w:rFonts w:ascii="Times New Roman" w:hAnsi="Times New Roman" w:cs="Times New Roman"/>
          <w:color w:val="000000" w:themeColor="text1"/>
        </w:rPr>
        <w:t>會討論。</w:t>
      </w:r>
    </w:p>
    <w:p w14:paraId="59C782D1" w14:textId="1CCF63C2" w:rsidR="007573DB" w:rsidRPr="007155B6" w:rsidRDefault="00132FB4" w:rsidP="00681E1C">
      <w:pPr>
        <w:rPr>
          <w:rFonts w:ascii="Times New Roman" w:hAnsi="Times New Roman" w:cs="Times New Roman"/>
          <w:b/>
          <w:u w:val="single"/>
        </w:rPr>
      </w:pPr>
      <w:r w:rsidRPr="007155B6">
        <w:rPr>
          <w:rFonts w:ascii="Times New Roman" w:hAnsi="Times New Roman" w:cs="Times New Roman"/>
          <w:b/>
          <w:u w:val="single"/>
        </w:rPr>
        <w:t xml:space="preserve">                                                                        </w:t>
      </w:r>
    </w:p>
    <w:p w14:paraId="31F91FA6" w14:textId="77777777" w:rsidR="00132FB4" w:rsidRPr="007155B6" w:rsidRDefault="00681E1C" w:rsidP="00681E1C">
      <w:pPr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指定閱讀：</w:t>
      </w:r>
    </w:p>
    <w:p w14:paraId="55F27559" w14:textId="14197F71" w:rsidR="00681E1C" w:rsidRPr="007155B6" w:rsidRDefault="00132FB4" w:rsidP="00132FB4">
      <w:pPr>
        <w:ind w:leftChars="100" w:left="240"/>
        <w:rPr>
          <w:rFonts w:ascii="Times New Roman" w:hAnsi="Times New Roman" w:cs="Times New Roman"/>
        </w:rPr>
      </w:pPr>
      <w:proofErr w:type="spellStart"/>
      <w:r w:rsidRPr="007155B6">
        <w:rPr>
          <w:rFonts w:ascii="Times New Roman" w:hAnsi="Times New Roman" w:cs="Times New Roman"/>
        </w:rPr>
        <w:t>Ceiba</w:t>
      </w:r>
      <w:proofErr w:type="spellEnd"/>
      <w:r w:rsidRPr="007155B6">
        <w:rPr>
          <w:rFonts w:ascii="Times New Roman" w:hAnsi="Times New Roman" w:cs="Times New Roman"/>
        </w:rPr>
        <w:t>課程網上各參考</w:t>
      </w:r>
      <w:r w:rsidR="007573DB" w:rsidRPr="007155B6">
        <w:rPr>
          <w:rFonts w:ascii="Times New Roman" w:hAnsi="Times New Roman" w:cs="Times New Roman"/>
        </w:rPr>
        <w:t>書</w:t>
      </w:r>
      <w:r w:rsidRPr="007155B6">
        <w:rPr>
          <w:rFonts w:ascii="Times New Roman" w:hAnsi="Times New Roman" w:cs="Times New Roman"/>
        </w:rPr>
        <w:t>目</w:t>
      </w:r>
      <w:r w:rsidR="007573DB" w:rsidRPr="007155B6">
        <w:rPr>
          <w:rFonts w:ascii="Times New Roman" w:hAnsi="Times New Roman" w:cs="Times New Roman"/>
        </w:rPr>
        <w:t>相關章節</w:t>
      </w:r>
      <w:r w:rsidRPr="007155B6">
        <w:rPr>
          <w:rFonts w:ascii="Times New Roman" w:hAnsi="Times New Roman" w:cs="Times New Roman"/>
        </w:rPr>
        <w:t>。</w:t>
      </w:r>
    </w:p>
    <w:p w14:paraId="59894101" w14:textId="77777777" w:rsidR="00132FB4" w:rsidRPr="007155B6" w:rsidRDefault="00681E1C" w:rsidP="00681E1C">
      <w:pPr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延伸閱讀：</w:t>
      </w:r>
    </w:p>
    <w:p w14:paraId="518CC6F9" w14:textId="6C2D0C10" w:rsidR="00681E1C" w:rsidRPr="007155B6" w:rsidRDefault="007573DB" w:rsidP="00132FB4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李建良，基本權利理論體系之構成及其思考層次，收</w:t>
      </w:r>
      <w:proofErr w:type="gramStart"/>
      <w:r w:rsidRPr="007155B6">
        <w:rPr>
          <w:rFonts w:ascii="Times New Roman" w:hAnsi="Times New Roman" w:cs="Times New Roman"/>
        </w:rPr>
        <w:t>於氏著</w:t>
      </w:r>
      <w:proofErr w:type="gramEnd"/>
      <w:r w:rsidRPr="007155B6">
        <w:rPr>
          <w:rFonts w:ascii="Times New Roman" w:hAnsi="Times New Roman" w:cs="Times New Roman"/>
        </w:rPr>
        <w:t>憲法理論與實踐（一），頁</w:t>
      </w:r>
      <w:r w:rsidRPr="007155B6">
        <w:rPr>
          <w:rFonts w:ascii="Times New Roman" w:hAnsi="Times New Roman" w:cs="Times New Roman"/>
        </w:rPr>
        <w:t>72</w:t>
      </w:r>
      <w:r w:rsidRPr="007155B6">
        <w:rPr>
          <w:rFonts w:ascii="Times New Roman" w:hAnsi="Times New Roman" w:cs="Times New Roman"/>
        </w:rPr>
        <w:t>以下。</w:t>
      </w:r>
    </w:p>
    <w:p w14:paraId="20BA3106" w14:textId="77777777" w:rsidR="007573DB" w:rsidRPr="007155B6" w:rsidRDefault="007573DB" w:rsidP="00132FB4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湯德宗，違憲審查基準體系</w:t>
      </w:r>
      <w:proofErr w:type="gramStart"/>
      <w:r w:rsidRPr="007155B6">
        <w:rPr>
          <w:rFonts w:ascii="Times New Roman" w:hAnsi="Times New Roman" w:cs="Times New Roman"/>
        </w:rPr>
        <w:t>建構初探</w:t>
      </w:r>
      <w:proofErr w:type="gramEnd"/>
      <w:r w:rsidRPr="007155B6">
        <w:rPr>
          <w:rFonts w:ascii="Times New Roman" w:hAnsi="Times New Roman" w:cs="Times New Roman"/>
        </w:rPr>
        <w:t>：階層式比例原則構想，收於憲法解釋之理論與實務，</w:t>
      </w:r>
      <w:proofErr w:type="gramStart"/>
      <w:r w:rsidRPr="007155B6">
        <w:rPr>
          <w:rFonts w:ascii="Times New Roman" w:hAnsi="Times New Roman" w:cs="Times New Roman"/>
        </w:rPr>
        <w:t>第六輯下冊</w:t>
      </w:r>
      <w:proofErr w:type="gramEnd"/>
      <w:r w:rsidRPr="007155B6">
        <w:rPr>
          <w:rFonts w:ascii="Times New Roman" w:hAnsi="Times New Roman" w:cs="Times New Roman"/>
        </w:rPr>
        <w:t>，頁</w:t>
      </w:r>
      <w:r w:rsidRPr="007155B6">
        <w:rPr>
          <w:rFonts w:ascii="Times New Roman" w:hAnsi="Times New Roman" w:cs="Times New Roman"/>
        </w:rPr>
        <w:t>581</w:t>
      </w:r>
      <w:r w:rsidRPr="007155B6">
        <w:rPr>
          <w:rFonts w:ascii="Times New Roman" w:hAnsi="Times New Roman" w:cs="Times New Roman"/>
        </w:rPr>
        <w:t>以下。</w:t>
      </w:r>
    </w:p>
    <w:p w14:paraId="21F7829B" w14:textId="77777777" w:rsidR="007573DB" w:rsidRPr="007155B6" w:rsidRDefault="007573DB" w:rsidP="00132FB4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許宗力，基本權的保障與限制，</w:t>
      </w:r>
      <w:r w:rsidR="008809FE" w:rsidRPr="007155B6">
        <w:rPr>
          <w:rFonts w:ascii="Times New Roman" w:hAnsi="Times New Roman" w:cs="Times New Roman"/>
        </w:rPr>
        <w:t>收於</w:t>
      </w:r>
      <w:r w:rsidRPr="007155B6">
        <w:rPr>
          <w:rFonts w:ascii="Times New Roman" w:hAnsi="Times New Roman" w:cs="Times New Roman"/>
        </w:rPr>
        <w:t>月旦法學教室，第</w:t>
      </w:r>
      <w:r w:rsidRPr="007155B6">
        <w:rPr>
          <w:rFonts w:ascii="Times New Roman" w:hAnsi="Times New Roman" w:cs="Times New Roman"/>
        </w:rPr>
        <w:t>11</w:t>
      </w:r>
      <w:r w:rsidRPr="007155B6">
        <w:rPr>
          <w:rFonts w:ascii="Times New Roman" w:hAnsi="Times New Roman" w:cs="Times New Roman"/>
        </w:rPr>
        <w:t>期，頁</w:t>
      </w:r>
      <w:r w:rsidRPr="007155B6">
        <w:rPr>
          <w:rFonts w:ascii="Times New Roman" w:hAnsi="Times New Roman" w:cs="Times New Roman"/>
        </w:rPr>
        <w:t>64</w:t>
      </w:r>
      <w:r w:rsidRPr="007155B6">
        <w:rPr>
          <w:rFonts w:ascii="Times New Roman" w:hAnsi="Times New Roman" w:cs="Times New Roman"/>
        </w:rPr>
        <w:t>以下及第</w:t>
      </w:r>
      <w:r w:rsidRPr="007155B6">
        <w:rPr>
          <w:rFonts w:ascii="Times New Roman" w:hAnsi="Times New Roman" w:cs="Times New Roman"/>
        </w:rPr>
        <w:t>14</w:t>
      </w:r>
      <w:r w:rsidRPr="007155B6">
        <w:rPr>
          <w:rFonts w:ascii="Times New Roman" w:hAnsi="Times New Roman" w:cs="Times New Roman"/>
        </w:rPr>
        <w:t>期，頁</w:t>
      </w:r>
      <w:r w:rsidRPr="007155B6">
        <w:rPr>
          <w:rFonts w:ascii="Times New Roman" w:hAnsi="Times New Roman" w:cs="Times New Roman"/>
        </w:rPr>
        <w:t>50</w:t>
      </w:r>
      <w:r w:rsidRPr="007155B6">
        <w:rPr>
          <w:rFonts w:ascii="Times New Roman" w:hAnsi="Times New Roman" w:cs="Times New Roman"/>
        </w:rPr>
        <w:t>以下。</w:t>
      </w:r>
    </w:p>
    <w:p w14:paraId="2F5A3C77" w14:textId="77777777" w:rsidR="007573DB" w:rsidRPr="007155B6" w:rsidRDefault="007573DB" w:rsidP="00132FB4">
      <w:pPr>
        <w:pStyle w:val="a3"/>
        <w:numPr>
          <w:ilvl w:val="0"/>
          <w:numId w:val="10"/>
        </w:numPr>
        <w:ind w:leftChars="0"/>
        <w:rPr>
          <w:rFonts w:ascii="Times New Roman" w:hAnsi="Times New Roman" w:cs="Times New Roman"/>
        </w:rPr>
      </w:pPr>
      <w:r w:rsidRPr="007155B6">
        <w:rPr>
          <w:rFonts w:ascii="Times New Roman" w:hAnsi="Times New Roman" w:cs="Times New Roman"/>
        </w:rPr>
        <w:t>陳淳文，比例原則，收於</w:t>
      </w:r>
      <w:r w:rsidR="008809FE" w:rsidRPr="007155B6">
        <w:rPr>
          <w:rFonts w:ascii="Times New Roman" w:hAnsi="Times New Roman" w:cs="Times New Roman"/>
        </w:rPr>
        <w:t>行政法爭議問題研究（上冊），五南出版公司，頁</w:t>
      </w:r>
      <w:r w:rsidR="008809FE" w:rsidRPr="007155B6">
        <w:rPr>
          <w:rFonts w:ascii="Times New Roman" w:hAnsi="Times New Roman" w:cs="Times New Roman"/>
        </w:rPr>
        <w:t>91</w:t>
      </w:r>
      <w:r w:rsidR="008809FE" w:rsidRPr="007155B6">
        <w:rPr>
          <w:rFonts w:ascii="Times New Roman" w:hAnsi="Times New Roman" w:cs="Times New Roman"/>
        </w:rPr>
        <w:t>以下。</w:t>
      </w:r>
    </w:p>
    <w:p w14:paraId="61209181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15C12645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2DE5E8CE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6820E21A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508EF349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17180A51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10509441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7E543862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0003FF57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34676A1F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7E5F05F8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1E74F98A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0895D75D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24C7EDD6" w14:textId="77777777" w:rsidR="008A3883" w:rsidRPr="007155B6" w:rsidRDefault="008A3883" w:rsidP="008A3883">
      <w:pPr>
        <w:jc w:val="center"/>
        <w:rPr>
          <w:rFonts w:ascii="Times New Roman" w:eastAsia="標楷體" w:hAnsi="Times New Roman" w:cs="Times New Roman"/>
          <w:sz w:val="72"/>
          <w:szCs w:val="72"/>
        </w:rPr>
      </w:pPr>
      <w:r w:rsidRPr="007155B6">
        <w:rPr>
          <w:rFonts w:ascii="Times New Roman" w:eastAsia="標楷體" w:hAnsi="Times New Roman" w:cs="Times New Roman"/>
          <w:sz w:val="72"/>
          <w:szCs w:val="72"/>
          <w:lang w:eastAsia="ja-JP"/>
        </w:rPr>
        <w:t>版權聲明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2977"/>
        <w:gridCol w:w="1559"/>
        <w:gridCol w:w="2442"/>
      </w:tblGrid>
      <w:tr w:rsidR="008A3883" w:rsidRPr="007155B6" w14:paraId="02624373" w14:textId="77777777" w:rsidTr="005F671F">
        <w:trPr>
          <w:jc w:val="center"/>
        </w:trPr>
        <w:tc>
          <w:tcPr>
            <w:tcW w:w="1384" w:type="dxa"/>
            <w:shd w:val="clear" w:color="auto" w:fill="auto"/>
          </w:tcPr>
          <w:p w14:paraId="305D54D4" w14:textId="77777777" w:rsidR="008A3883" w:rsidRPr="007155B6" w:rsidRDefault="008A3883" w:rsidP="005F67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155B6">
              <w:rPr>
                <w:rFonts w:ascii="Times New Roman" w:eastAsia="標楷體" w:hAnsi="Times New Roman" w:cs="Times New Roman"/>
                <w:b/>
                <w:lang w:eastAsia="ja-JP"/>
              </w:rPr>
              <w:t>頁碼</w:t>
            </w:r>
          </w:p>
        </w:tc>
        <w:tc>
          <w:tcPr>
            <w:tcW w:w="2977" w:type="dxa"/>
            <w:shd w:val="clear" w:color="auto" w:fill="auto"/>
          </w:tcPr>
          <w:p w14:paraId="078C11B3" w14:textId="77777777" w:rsidR="008A3883" w:rsidRPr="007155B6" w:rsidRDefault="008A3883" w:rsidP="005F67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155B6">
              <w:rPr>
                <w:rFonts w:ascii="Times New Roman" w:eastAsia="標楷體" w:hAnsi="Times New Roman" w:cs="Times New Roman"/>
                <w:b/>
                <w:lang w:eastAsia="ja-JP"/>
              </w:rPr>
              <w:t>作品</w:t>
            </w:r>
          </w:p>
        </w:tc>
        <w:tc>
          <w:tcPr>
            <w:tcW w:w="1559" w:type="dxa"/>
            <w:shd w:val="clear" w:color="auto" w:fill="auto"/>
          </w:tcPr>
          <w:p w14:paraId="238FBAD9" w14:textId="77777777" w:rsidR="008A3883" w:rsidRPr="007155B6" w:rsidRDefault="008A3883" w:rsidP="005F67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155B6">
              <w:rPr>
                <w:rFonts w:ascii="Times New Roman" w:eastAsia="標楷體" w:hAnsi="Times New Roman" w:cs="Times New Roman"/>
                <w:b/>
                <w:lang w:eastAsia="ja-JP"/>
              </w:rPr>
              <w:t>版權標示</w:t>
            </w:r>
          </w:p>
        </w:tc>
        <w:tc>
          <w:tcPr>
            <w:tcW w:w="2442" w:type="dxa"/>
            <w:shd w:val="clear" w:color="auto" w:fill="auto"/>
          </w:tcPr>
          <w:p w14:paraId="5BFFE0DC" w14:textId="77777777" w:rsidR="008A3883" w:rsidRPr="007155B6" w:rsidRDefault="008A3883" w:rsidP="005F671F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Times New Roman" w:eastAsia="標楷體" w:hAnsi="Times New Roman" w:cs="Times New Roman"/>
                <w:b/>
                <w:lang w:eastAsia="ja-JP"/>
              </w:rPr>
            </w:pPr>
            <w:r w:rsidRPr="007155B6">
              <w:rPr>
                <w:rFonts w:ascii="Times New Roman" w:eastAsia="標楷體" w:hAnsi="Times New Roman" w:cs="Times New Roman"/>
                <w:b/>
                <w:lang w:eastAsia="ja-JP"/>
              </w:rPr>
              <w:t>作者</w:t>
            </w:r>
            <w:r w:rsidRPr="007155B6">
              <w:rPr>
                <w:rFonts w:ascii="Times New Roman" w:eastAsia="標楷體" w:hAnsi="Times New Roman" w:cs="Times New Roman"/>
                <w:b/>
                <w:lang w:eastAsia="ja-JP"/>
              </w:rPr>
              <w:t>/</w:t>
            </w:r>
            <w:r w:rsidRPr="007155B6">
              <w:rPr>
                <w:rFonts w:ascii="Times New Roman" w:eastAsia="標楷體" w:hAnsi="Times New Roman" w:cs="Times New Roman"/>
                <w:b/>
                <w:lang w:eastAsia="ja-JP"/>
              </w:rPr>
              <w:t>出處</w:t>
            </w:r>
          </w:p>
        </w:tc>
      </w:tr>
      <w:tr w:rsidR="008A3883" w:rsidRPr="007155B6" w14:paraId="63609712" w14:textId="77777777" w:rsidTr="005F671F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45E1020" w14:textId="51943209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155B6">
              <w:rPr>
                <w:rFonts w:ascii="Times New Roman" w:eastAsia="標楷體" w:hAnsi="Times New Roman" w:cs="Times New Roman"/>
                <w:sz w:val="36"/>
                <w:szCs w:val="36"/>
              </w:rPr>
              <w:t>2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79D4344" w14:textId="3EA3FCDC" w:rsidR="008A3883" w:rsidRPr="007155B6" w:rsidRDefault="008A3883" w:rsidP="005F671F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155B6">
              <w:rPr>
                <w:rFonts w:ascii="Times New Roman" w:eastAsia="標楷體" w:hAnsi="Times New Roman" w:cs="Times New Roman"/>
              </w:rPr>
              <w:t>教唆或幫助他人使之自殺，或受其囑託或得其承諾而殺之者，處一年以上</w:t>
            </w:r>
            <w:r w:rsidRPr="007155B6">
              <w:rPr>
                <w:rFonts w:ascii="Times New Roman" w:eastAsia="標楷體" w:hAnsi="Times New Roman" w:cs="Times New Roman"/>
                <w:kern w:val="0"/>
              </w:rPr>
              <w:t>七年以下有期徒刑。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2A3E8D" w14:textId="49FD7B88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C78DFFC" wp14:editId="64357646">
                  <wp:extent cx="445135" cy="389890"/>
                  <wp:effectExtent l="0" t="0" r="0" b="0"/>
                  <wp:docPr id="8" name="圖片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0AAE7F91" w14:textId="165808C6" w:rsidR="008A3883" w:rsidRPr="007155B6" w:rsidRDefault="008A3883" w:rsidP="008A3883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中華民國刑法第</w:t>
            </w:r>
            <w:r w:rsidRPr="007155B6">
              <w:rPr>
                <w:rFonts w:ascii="Times New Roman" w:eastAsia="標楷體" w:hAnsi="Times New Roman" w:cs="Times New Roman"/>
              </w:rPr>
              <w:t>275</w:t>
            </w:r>
            <w:r w:rsidRPr="007155B6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  <w:tr w:rsidR="008A3883" w:rsidRPr="007155B6" w14:paraId="55F9AC0F" w14:textId="77777777" w:rsidTr="005F671F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7EF231D7" w14:textId="664AA10D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155B6">
              <w:rPr>
                <w:rFonts w:ascii="Times New Roman" w:eastAsia="標楷體" w:hAnsi="Times New Roman" w:cs="Times New Roman"/>
                <w:sz w:val="36"/>
                <w:szCs w:val="36"/>
              </w:rPr>
              <w:t>3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C6EF2CD" w14:textId="58115540" w:rsidR="008A3883" w:rsidRPr="007155B6" w:rsidRDefault="008A3883" w:rsidP="005F671F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憲法第二章之各項權利，若有限制之必要時，必須以法律限制之。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657951" w14:textId="6D60ACEB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30D6923B" wp14:editId="32B4B9A0">
                  <wp:extent cx="445135" cy="389890"/>
                  <wp:effectExtent l="0" t="0" r="0" b="0"/>
                  <wp:docPr id="10" name="圖片 10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4AEBDFE8" w14:textId="48238953" w:rsidR="008A3883" w:rsidRPr="007155B6" w:rsidRDefault="008A3883" w:rsidP="008A3883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中華民國憲法第</w:t>
            </w:r>
            <w:r w:rsidRPr="007155B6">
              <w:rPr>
                <w:rFonts w:ascii="Times New Roman" w:eastAsia="標楷體" w:hAnsi="Times New Roman" w:cs="Times New Roman"/>
              </w:rPr>
              <w:t>23</w:t>
            </w:r>
            <w:r w:rsidRPr="007155B6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  <w:tr w:rsidR="008A3883" w:rsidRPr="007155B6" w14:paraId="47A02603" w14:textId="77777777" w:rsidTr="005F671F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231E4972" w14:textId="09223769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155B6">
              <w:rPr>
                <w:rFonts w:ascii="Times New Roman" w:eastAsia="標楷體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BF46D49" w14:textId="65DF2185" w:rsidR="008A3883" w:rsidRPr="007155B6" w:rsidRDefault="008A3883" w:rsidP="005F671F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社會秩序或公共利益等詞彙，皆是不確定法律概念的運用。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115F50" w14:textId="2399AB1C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59461714" wp14:editId="70F04629">
                  <wp:extent cx="445135" cy="389890"/>
                  <wp:effectExtent l="0" t="0" r="0" b="0"/>
                  <wp:docPr id="12" name="圖片 1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74825913" w14:textId="04AEB8DE" w:rsidR="008A3883" w:rsidRPr="007155B6" w:rsidRDefault="008A3883" w:rsidP="008A3883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中華民國憲法第</w:t>
            </w:r>
            <w:r w:rsidRPr="007155B6">
              <w:rPr>
                <w:rFonts w:ascii="Times New Roman" w:eastAsia="標楷體" w:hAnsi="Times New Roman" w:cs="Times New Roman"/>
              </w:rPr>
              <w:t>23</w:t>
            </w:r>
            <w:r w:rsidRPr="007155B6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  <w:tr w:rsidR="008A3883" w:rsidRPr="007155B6" w14:paraId="59CCA6FD" w14:textId="77777777" w:rsidTr="005F671F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0EC238FE" w14:textId="4114B1B8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155B6">
              <w:rPr>
                <w:rFonts w:ascii="Times New Roman" w:eastAsia="標楷體" w:hAnsi="Times New Roman" w:cs="Times New Roman"/>
                <w:sz w:val="36"/>
                <w:szCs w:val="36"/>
              </w:rPr>
              <w:t>4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C11342D" w14:textId="3DF203A4" w:rsidR="008A3883" w:rsidRPr="007155B6" w:rsidRDefault="008A3883" w:rsidP="005F671F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  <w:color w:val="000000"/>
              </w:rPr>
              <w:t>法律就前揭違法或不正當行為無從</w:t>
            </w:r>
            <w:proofErr w:type="gramStart"/>
            <w:r w:rsidRPr="007155B6">
              <w:rPr>
                <w:rFonts w:ascii="Times New Roman" w:eastAsia="標楷體" w:hAnsi="Times New Roman" w:cs="Times New Roman"/>
                <w:color w:val="000000"/>
              </w:rPr>
              <w:t>鉅</w:t>
            </w:r>
            <w:proofErr w:type="gramEnd"/>
            <w:r w:rsidRPr="007155B6">
              <w:rPr>
                <w:rFonts w:ascii="Times New Roman" w:eastAsia="標楷體" w:hAnsi="Times New Roman" w:cs="Times New Roman"/>
                <w:color w:val="000000"/>
              </w:rPr>
              <w:t>細</w:t>
            </w:r>
            <w:proofErr w:type="gramStart"/>
            <w:r w:rsidRPr="007155B6">
              <w:rPr>
                <w:rFonts w:ascii="Times New Roman" w:eastAsia="標楷體" w:hAnsi="Times New Roman" w:cs="Times New Roman"/>
                <w:color w:val="000000"/>
              </w:rPr>
              <w:t>靡遺悉加</w:t>
            </w:r>
            <w:proofErr w:type="gramEnd"/>
            <w:r w:rsidRPr="007155B6">
              <w:rPr>
                <w:rFonts w:ascii="Times New Roman" w:eastAsia="標楷體" w:hAnsi="Times New Roman" w:cs="Times New Roman"/>
                <w:color w:val="000000"/>
              </w:rPr>
              <w:t>規定，因以不確定法律概念予以規範，惟其涵義於個案中並非不能經由適當組成之機構依其專業知識及</w:t>
            </w:r>
            <w:proofErr w:type="gramStart"/>
            <w:r w:rsidRPr="007155B6">
              <w:rPr>
                <w:rFonts w:ascii="Times New Roman" w:eastAsia="標楷體" w:hAnsi="Times New Roman" w:cs="Times New Roman"/>
                <w:color w:val="000000"/>
              </w:rPr>
              <w:t>社會通念加以</w:t>
            </w:r>
            <w:proofErr w:type="gramEnd"/>
            <w:r w:rsidRPr="007155B6">
              <w:rPr>
                <w:rFonts w:ascii="Times New Roman" w:eastAsia="標楷體" w:hAnsi="Times New Roman" w:cs="Times New Roman"/>
                <w:color w:val="000000"/>
              </w:rPr>
              <w:t>認定及判斷，並可由司法審查予以確認，則與法律明確性原則尚無不合，於憲法保障人民權利之意旨亦無牴觸。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B0B9344" w14:textId="161CC75F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03E62D1D" wp14:editId="0C2582EF">
                  <wp:extent cx="445135" cy="389890"/>
                  <wp:effectExtent l="0" t="0" r="0" b="0"/>
                  <wp:docPr id="3" name="圖片 3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161D6748" w14:textId="7EEE486A" w:rsidR="008A3883" w:rsidRPr="007155B6" w:rsidRDefault="008A3883" w:rsidP="005F671F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中華民國憲法釋字第</w:t>
            </w:r>
            <w:r w:rsidRPr="007155B6">
              <w:rPr>
                <w:rFonts w:ascii="Times New Roman" w:eastAsia="標楷體" w:hAnsi="Times New Roman" w:cs="Times New Roman"/>
              </w:rPr>
              <w:t>545</w:t>
            </w:r>
            <w:r w:rsidRPr="007155B6">
              <w:rPr>
                <w:rFonts w:ascii="Times New Roman" w:eastAsia="標楷體" w:hAnsi="Times New Roman" w:cs="Times New Roman"/>
              </w:rPr>
              <w:t>號解釋文，</w:t>
            </w:r>
          </w:p>
          <w:p w14:paraId="010FE4E4" w14:textId="77777777" w:rsidR="008A3883" w:rsidRPr="007155B6" w:rsidRDefault="008A3883" w:rsidP="005F671F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屬公共領域之著作。</w:t>
            </w:r>
          </w:p>
        </w:tc>
      </w:tr>
      <w:tr w:rsidR="008A3883" w:rsidRPr="007155B6" w14:paraId="4E6582C7" w14:textId="77777777" w:rsidTr="005F671F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68B37006" w14:textId="290D58D4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7155B6">
              <w:rPr>
                <w:rFonts w:ascii="Times New Roman" w:eastAsia="標楷體" w:hAnsi="Times New Roman" w:cs="Times New Roman"/>
                <w:sz w:val="32"/>
                <w:szCs w:val="32"/>
              </w:rPr>
              <w:t>4-5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6DD8D3E" w14:textId="001584BA" w:rsidR="008A3883" w:rsidRPr="007155B6" w:rsidRDefault="008A3883" w:rsidP="005F671F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155B6">
              <w:rPr>
                <w:rFonts w:ascii="Times New Roman" w:eastAsia="標楷體" w:hAnsi="Times New Roman" w:cs="Times New Roman"/>
              </w:rPr>
              <w:t>立法院有議決法律案、預算案、戒嚴案、大赦案、宣戰案、媾和案、條約案及國家其他重要事項之權。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C804F0D" w14:textId="655F7A7E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155B6">
              <w:rPr>
                <w:rFonts w:ascii="Times New Roman" w:eastAsia="標楷體" w:hAnsi="Times New Roman" w:cs="Times New Roman"/>
                <w:noProof/>
              </w:rPr>
              <w:drawing>
                <wp:inline distT="0" distB="0" distL="0" distR="0" wp14:anchorId="1AEB1329" wp14:editId="474AC823">
                  <wp:extent cx="445135" cy="389890"/>
                  <wp:effectExtent l="0" t="0" r="0" b="0"/>
                  <wp:docPr id="14" name="圖片 1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21658329" w14:textId="0A677803" w:rsidR="008A3883" w:rsidRPr="007155B6" w:rsidRDefault="008A3883" w:rsidP="005F671F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中華民國憲法第</w:t>
            </w:r>
            <w:r w:rsidRPr="007155B6">
              <w:rPr>
                <w:rFonts w:ascii="Times New Roman" w:eastAsia="標楷體" w:hAnsi="Times New Roman" w:cs="Times New Roman"/>
              </w:rPr>
              <w:t>63</w:t>
            </w:r>
            <w:r w:rsidRPr="007155B6">
              <w:rPr>
                <w:rFonts w:ascii="Times New Roman" w:eastAsia="標楷體" w:hAnsi="Times New Roman" w:cs="Times New Roman"/>
              </w:rPr>
              <w:t>條，屬公共領域之著作。</w:t>
            </w:r>
          </w:p>
        </w:tc>
      </w:tr>
      <w:tr w:rsidR="008A3883" w:rsidRPr="007155B6" w14:paraId="62249781" w14:textId="77777777" w:rsidTr="005F671F">
        <w:trPr>
          <w:jc w:val="center"/>
        </w:trPr>
        <w:tc>
          <w:tcPr>
            <w:tcW w:w="1384" w:type="dxa"/>
            <w:shd w:val="clear" w:color="auto" w:fill="auto"/>
            <w:vAlign w:val="center"/>
          </w:tcPr>
          <w:p w14:paraId="4F9E3D27" w14:textId="51F2A4A1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sz w:val="36"/>
                <w:szCs w:val="36"/>
              </w:rPr>
            </w:pPr>
            <w:r w:rsidRPr="007155B6">
              <w:rPr>
                <w:rFonts w:ascii="Times New Roman" w:eastAsia="標楷體" w:hAnsi="Times New Roman" w:cs="Times New Roman"/>
                <w:sz w:val="36"/>
                <w:szCs w:val="36"/>
              </w:rPr>
              <w:t>5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9CDCCF" w14:textId="30D51A30" w:rsidR="008A3883" w:rsidRPr="007155B6" w:rsidRDefault="008A3883" w:rsidP="005F671F">
            <w:pPr>
              <w:rPr>
                <w:rFonts w:ascii="Times New Roman" w:eastAsia="標楷體" w:hAnsi="Times New Roman" w:cs="Times New Roman"/>
                <w:color w:val="000000"/>
              </w:rPr>
            </w:pPr>
            <w:r w:rsidRPr="007155B6">
              <w:rPr>
                <w:rFonts w:ascii="Times New Roman" w:eastAsia="標楷體" w:hAnsi="Times New Roman" w:cs="Times New Roman"/>
                <w:color w:val="000000"/>
              </w:rPr>
              <w:t>懲治走私條例第二條第一項所科處之刑罰，對人民之</w:t>
            </w:r>
            <w:r w:rsidRPr="007155B6">
              <w:rPr>
                <w:rFonts w:ascii="Times New Roman" w:eastAsia="標楷體" w:hAnsi="Times New Roman" w:cs="Times New Roman"/>
                <w:color w:val="000000"/>
              </w:rPr>
              <w:lastRenderedPageBreak/>
              <w:t>自由及財產權影響極為嚴重。然有關管制物品之項目及數額等犯罪構成要件內容，同條第三項則全部委由行政院公告之，既未規定為何種目的而為管制，亦未指明於公告管制物品項目及數額時應考量之因素，且授權之母法亦乏其他可據以推論相關事項之規定可</w:t>
            </w:r>
            <w:proofErr w:type="gramStart"/>
            <w:r w:rsidRPr="007155B6">
              <w:rPr>
                <w:rFonts w:ascii="Times New Roman" w:eastAsia="標楷體" w:hAnsi="Times New Roman" w:cs="Times New Roman"/>
                <w:color w:val="000000"/>
              </w:rPr>
              <w:t>稽</w:t>
            </w:r>
            <w:proofErr w:type="gramEnd"/>
            <w:r w:rsidRPr="007155B6">
              <w:rPr>
                <w:rFonts w:ascii="Times New Roman" w:eastAsia="標楷體" w:hAnsi="Times New Roman" w:cs="Times New Roman"/>
                <w:color w:val="000000"/>
              </w:rPr>
              <w:t>，必須從行政院訂定公告之『管制物品項目及其數額』中，始能知悉可罰行為之內容，</w:t>
            </w:r>
            <w:proofErr w:type="gramStart"/>
            <w:r w:rsidRPr="007155B6">
              <w:rPr>
                <w:rFonts w:ascii="Times New Roman" w:eastAsia="標楷體" w:hAnsi="Times New Roman" w:cs="Times New Roman"/>
                <w:color w:val="000000"/>
              </w:rPr>
              <w:t>另縱由</w:t>
            </w:r>
            <w:proofErr w:type="gramEnd"/>
            <w:r w:rsidRPr="007155B6">
              <w:rPr>
                <w:rFonts w:ascii="Times New Roman" w:eastAsia="標楷體" w:hAnsi="Times New Roman" w:cs="Times New Roman"/>
                <w:color w:val="000000"/>
              </w:rPr>
              <w:t>懲治走私條例整體觀察，亦無從預見私運何種物品達何等數額將因公告而有受處罰之可能，自屬授權不明確，而與上述憲法保障人民權利之意旨不符。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0CFAA4C" w14:textId="2720EF4F" w:rsidR="008A3883" w:rsidRPr="007155B6" w:rsidRDefault="008A3883" w:rsidP="005F671F">
            <w:pPr>
              <w:jc w:val="center"/>
              <w:rPr>
                <w:rFonts w:ascii="Times New Roman" w:eastAsia="標楷體" w:hAnsi="Times New Roman" w:cs="Times New Roman"/>
                <w:noProof/>
              </w:rPr>
            </w:pPr>
            <w:r w:rsidRPr="007155B6">
              <w:rPr>
                <w:rFonts w:ascii="Times New Roman" w:eastAsia="標楷體" w:hAnsi="Times New Roman" w:cs="Times New Roman"/>
                <w:noProof/>
              </w:rPr>
              <w:lastRenderedPageBreak/>
              <w:drawing>
                <wp:inline distT="0" distB="0" distL="0" distR="0" wp14:anchorId="35896EEF" wp14:editId="74719A5E">
                  <wp:extent cx="445135" cy="389890"/>
                  <wp:effectExtent l="0" t="0" r="0" b="0"/>
                  <wp:docPr id="4" name="圖片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5135" cy="38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42" w:type="dxa"/>
            <w:shd w:val="clear" w:color="auto" w:fill="auto"/>
            <w:vAlign w:val="center"/>
          </w:tcPr>
          <w:p w14:paraId="57E49BC6" w14:textId="3888963F" w:rsidR="008A3883" w:rsidRPr="007155B6" w:rsidRDefault="008A3883" w:rsidP="008A3883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t>中華民國憲法釋字第</w:t>
            </w:r>
            <w:r w:rsidRPr="007155B6">
              <w:rPr>
                <w:rFonts w:ascii="Times New Roman" w:eastAsia="標楷體" w:hAnsi="Times New Roman" w:cs="Times New Roman"/>
              </w:rPr>
              <w:t>680</w:t>
            </w:r>
            <w:r w:rsidRPr="007155B6">
              <w:rPr>
                <w:rFonts w:ascii="Times New Roman" w:eastAsia="標楷體" w:hAnsi="Times New Roman" w:cs="Times New Roman"/>
              </w:rPr>
              <w:t>號解釋文，</w:t>
            </w:r>
          </w:p>
          <w:p w14:paraId="09C4E8D3" w14:textId="7838E9E5" w:rsidR="008A3883" w:rsidRPr="007155B6" w:rsidRDefault="008A3883" w:rsidP="008A3883">
            <w:pPr>
              <w:rPr>
                <w:rFonts w:ascii="Times New Roman" w:eastAsia="標楷體" w:hAnsi="Times New Roman" w:cs="Times New Roman"/>
              </w:rPr>
            </w:pPr>
            <w:r w:rsidRPr="007155B6">
              <w:rPr>
                <w:rFonts w:ascii="Times New Roman" w:eastAsia="標楷體" w:hAnsi="Times New Roman" w:cs="Times New Roman"/>
              </w:rPr>
              <w:lastRenderedPageBreak/>
              <w:t>屬公共領域之著作。</w:t>
            </w:r>
          </w:p>
        </w:tc>
      </w:tr>
    </w:tbl>
    <w:p w14:paraId="7773AF0C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2C0F5C44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64536EBF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6FCC919D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15FB3A62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p w14:paraId="61FB8F4D" w14:textId="77777777" w:rsidR="008A3883" w:rsidRPr="007155B6" w:rsidRDefault="008A3883" w:rsidP="008A3883">
      <w:pPr>
        <w:rPr>
          <w:rFonts w:ascii="Times New Roman" w:hAnsi="Times New Roman" w:cs="Times New Roman"/>
        </w:rPr>
      </w:pPr>
    </w:p>
    <w:sectPr w:rsidR="008A3883" w:rsidRPr="007155B6" w:rsidSect="00821E6B">
      <w:headerReference w:type="default" r:id="rId17"/>
      <w:footerReference w:type="default" r:id="rId18"/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60AB6D" w14:textId="77777777" w:rsidR="00C82BEF" w:rsidRDefault="00C82BEF" w:rsidP="00132FB4">
      <w:r>
        <w:separator/>
      </w:r>
    </w:p>
  </w:endnote>
  <w:endnote w:type="continuationSeparator" w:id="0">
    <w:p w14:paraId="696932BE" w14:textId="77777777" w:rsidR="00C82BEF" w:rsidRDefault="00C82BEF" w:rsidP="00132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745500"/>
      <w:docPartObj>
        <w:docPartGallery w:val="Page Numbers (Bottom of Page)"/>
        <w:docPartUnique/>
      </w:docPartObj>
    </w:sdtPr>
    <w:sdtEndPr>
      <w:rPr>
        <w:rFonts w:ascii="Times New Roman" w:eastAsia="標楷體" w:hAnsi="Times New Roman" w:cs="Times New Roman"/>
      </w:rPr>
    </w:sdtEndPr>
    <w:sdtContent>
      <w:p w14:paraId="518A354C" w14:textId="1C5D5262" w:rsidR="00221559" w:rsidRPr="0007034B" w:rsidRDefault="0007034B">
        <w:pPr>
          <w:pStyle w:val="a6"/>
          <w:jc w:val="center"/>
          <w:rPr>
            <w:rFonts w:ascii="Times New Roman" w:eastAsia="標楷體" w:hAnsi="Times New Roman" w:cs="Times New Roman"/>
          </w:rPr>
        </w:pPr>
        <w:r w:rsidRPr="0007034B">
          <w:rPr>
            <w:rFonts w:ascii="Times New Roman" w:eastAsia="標楷體" w:hAnsi="Times New Roman" w:cs="Times New Roman"/>
          </w:rPr>
          <w:t>第</w:t>
        </w:r>
        <w:r w:rsidR="00221559" w:rsidRPr="0007034B">
          <w:rPr>
            <w:rFonts w:ascii="Times New Roman" w:eastAsia="標楷體" w:hAnsi="Times New Roman" w:cs="Times New Roman"/>
          </w:rPr>
          <w:fldChar w:fldCharType="begin"/>
        </w:r>
        <w:r w:rsidR="00221559" w:rsidRPr="0007034B">
          <w:rPr>
            <w:rFonts w:ascii="Times New Roman" w:eastAsia="標楷體" w:hAnsi="Times New Roman" w:cs="Times New Roman"/>
          </w:rPr>
          <w:instrText>PAGE   \* MERGEFORMAT</w:instrText>
        </w:r>
        <w:r w:rsidR="00221559" w:rsidRPr="0007034B">
          <w:rPr>
            <w:rFonts w:ascii="Times New Roman" w:eastAsia="標楷體" w:hAnsi="Times New Roman" w:cs="Times New Roman"/>
          </w:rPr>
          <w:fldChar w:fldCharType="separate"/>
        </w:r>
        <w:r w:rsidRPr="0007034B">
          <w:rPr>
            <w:rFonts w:ascii="Times New Roman" w:eastAsia="標楷體" w:hAnsi="Times New Roman" w:cs="Times New Roman"/>
            <w:noProof/>
            <w:lang w:val="zh-TW"/>
          </w:rPr>
          <w:t>2</w:t>
        </w:r>
        <w:r w:rsidR="00221559" w:rsidRPr="0007034B">
          <w:rPr>
            <w:rFonts w:ascii="Times New Roman" w:eastAsia="標楷體" w:hAnsi="Times New Roman" w:cs="Times New Roman"/>
          </w:rPr>
          <w:fldChar w:fldCharType="end"/>
        </w:r>
        <w:r w:rsidRPr="0007034B">
          <w:rPr>
            <w:rFonts w:ascii="Times New Roman" w:eastAsia="標楷體" w:hAnsi="Times New Roman" w:cs="Times New Roman"/>
          </w:rPr>
          <w:t>頁，共</w:t>
        </w:r>
        <w:r w:rsidRPr="0007034B">
          <w:rPr>
            <w:rFonts w:ascii="Times New Roman" w:eastAsia="標楷體" w:hAnsi="Times New Roman" w:cs="Times New Roman"/>
          </w:rPr>
          <w:t>8</w:t>
        </w:r>
        <w:r w:rsidRPr="0007034B">
          <w:rPr>
            <w:rFonts w:ascii="Times New Roman" w:eastAsia="標楷體" w:hAnsi="Times New Roman" w:cs="Times New Roman"/>
          </w:rPr>
          <w:t>頁。</w:t>
        </w:r>
      </w:p>
    </w:sdtContent>
  </w:sdt>
  <w:p w14:paraId="42158809" w14:textId="77777777" w:rsidR="00221559" w:rsidRDefault="0022155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44841" w14:textId="77777777" w:rsidR="00C82BEF" w:rsidRDefault="00C82BEF" w:rsidP="00132FB4">
      <w:r>
        <w:separator/>
      </w:r>
    </w:p>
  </w:footnote>
  <w:footnote w:type="continuationSeparator" w:id="0">
    <w:p w14:paraId="110A9E00" w14:textId="77777777" w:rsidR="00C82BEF" w:rsidRDefault="00C82BEF" w:rsidP="00132F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3953DD" w14:textId="41353F73" w:rsidR="00221559" w:rsidRDefault="00221559" w:rsidP="00641065">
    <w:pPr>
      <w:pStyle w:val="a4"/>
      <w:jc w:val="center"/>
    </w:pPr>
    <w:r>
      <w:rPr>
        <w:b/>
        <w:noProof/>
        <w:szCs w:val="28"/>
      </w:rPr>
      <w:drawing>
        <wp:inline distT="0" distB="0" distL="0" distR="0" wp14:anchorId="30CC88EF" wp14:editId="5CFD312D">
          <wp:extent cx="1320800" cy="438150"/>
          <wp:effectExtent l="0" t="0" r="0" b="0"/>
          <wp:docPr id="1" name="圖片 1" descr="描述: O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OC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080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A0F99"/>
    <w:multiLevelType w:val="hybridMultilevel"/>
    <w:tmpl w:val="7BE44484"/>
    <w:lvl w:ilvl="0" w:tplc="1B526CCE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8FF5CCD"/>
    <w:multiLevelType w:val="hybridMultilevel"/>
    <w:tmpl w:val="DC649BB0"/>
    <w:lvl w:ilvl="0" w:tplc="6F64DE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1C8661B"/>
    <w:multiLevelType w:val="hybridMultilevel"/>
    <w:tmpl w:val="2F7043AA"/>
    <w:lvl w:ilvl="0" w:tplc="968E28F2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7345CAF"/>
    <w:multiLevelType w:val="hybridMultilevel"/>
    <w:tmpl w:val="B3F09112"/>
    <w:lvl w:ilvl="0" w:tplc="C83C43C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1E2D6B9E"/>
    <w:multiLevelType w:val="hybridMultilevel"/>
    <w:tmpl w:val="9E7EE202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55F57F0"/>
    <w:multiLevelType w:val="hybridMultilevel"/>
    <w:tmpl w:val="374E1258"/>
    <w:lvl w:ilvl="0" w:tplc="9B06D364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29351D19"/>
    <w:multiLevelType w:val="hybridMultilevel"/>
    <w:tmpl w:val="45D43170"/>
    <w:lvl w:ilvl="0" w:tplc="25DA9F90">
      <w:start w:val="1"/>
      <w:numFmt w:val="japaneseCounting"/>
      <w:lvlText w:val="（%1）"/>
      <w:lvlJc w:val="left"/>
      <w:pPr>
        <w:ind w:left="2160" w:hanging="72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7">
    <w:nsid w:val="2B621036"/>
    <w:multiLevelType w:val="hybridMultilevel"/>
    <w:tmpl w:val="1F042E34"/>
    <w:lvl w:ilvl="0" w:tplc="82466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623E5102">
      <w:start w:val="1"/>
      <w:numFmt w:val="upperLetter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C3F2CAC"/>
    <w:multiLevelType w:val="hybridMultilevel"/>
    <w:tmpl w:val="709EC2F4"/>
    <w:lvl w:ilvl="0" w:tplc="8CDC38E0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FCD0A52"/>
    <w:multiLevelType w:val="hybridMultilevel"/>
    <w:tmpl w:val="AF3E5DC2"/>
    <w:lvl w:ilvl="0" w:tplc="D01A06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4683789"/>
    <w:multiLevelType w:val="hybridMultilevel"/>
    <w:tmpl w:val="1730E734"/>
    <w:lvl w:ilvl="0" w:tplc="5A025FA8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690706D"/>
    <w:multiLevelType w:val="hybridMultilevel"/>
    <w:tmpl w:val="F3582208"/>
    <w:lvl w:ilvl="0" w:tplc="D6FE8968">
      <w:start w:val="1"/>
      <w:numFmt w:val="decimal"/>
      <w:lvlText w:val="%1."/>
      <w:lvlJc w:val="left"/>
      <w:pPr>
        <w:ind w:left="2665" w:hanging="50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12">
    <w:nsid w:val="3A842A7D"/>
    <w:multiLevelType w:val="hybridMultilevel"/>
    <w:tmpl w:val="81F29C42"/>
    <w:lvl w:ilvl="0" w:tplc="2DB004F4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030222F"/>
    <w:multiLevelType w:val="hybridMultilevel"/>
    <w:tmpl w:val="76CE4928"/>
    <w:lvl w:ilvl="0" w:tplc="FC8658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429C1E7E"/>
    <w:multiLevelType w:val="hybridMultilevel"/>
    <w:tmpl w:val="EE827C24"/>
    <w:lvl w:ilvl="0" w:tplc="623E5102">
      <w:start w:val="1"/>
      <w:numFmt w:val="upperLetter"/>
      <w:lvlText w:val="%1."/>
      <w:lvlJc w:val="left"/>
      <w:pPr>
        <w:ind w:left="8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>
    <w:nsid w:val="4B745AA1"/>
    <w:multiLevelType w:val="hybridMultilevel"/>
    <w:tmpl w:val="0F6A9EDE"/>
    <w:lvl w:ilvl="0" w:tplc="D5103EA8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4C3307AF"/>
    <w:multiLevelType w:val="hybridMultilevel"/>
    <w:tmpl w:val="F934F34C"/>
    <w:lvl w:ilvl="0" w:tplc="2A660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5433EA1"/>
    <w:multiLevelType w:val="hybridMultilevel"/>
    <w:tmpl w:val="9D5AF664"/>
    <w:lvl w:ilvl="0" w:tplc="BC60204E">
      <w:start w:val="1"/>
      <w:numFmt w:val="japaneseCounting"/>
      <w:lvlText w:val="（%1）"/>
      <w:lvlJc w:val="left"/>
      <w:pPr>
        <w:ind w:left="21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8">
    <w:nsid w:val="5AF82F42"/>
    <w:multiLevelType w:val="hybridMultilevel"/>
    <w:tmpl w:val="5B44982E"/>
    <w:lvl w:ilvl="0" w:tplc="623E5102">
      <w:start w:val="1"/>
      <w:numFmt w:val="upperLetter"/>
      <w:lvlText w:val="%1.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9">
    <w:nsid w:val="6486435E"/>
    <w:multiLevelType w:val="hybridMultilevel"/>
    <w:tmpl w:val="FD460804"/>
    <w:lvl w:ilvl="0" w:tplc="6CD0DDAE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CC210DB"/>
    <w:multiLevelType w:val="hybridMultilevel"/>
    <w:tmpl w:val="52C4834C"/>
    <w:lvl w:ilvl="0" w:tplc="824661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71ED56F7"/>
    <w:multiLevelType w:val="hybridMultilevel"/>
    <w:tmpl w:val="B360D80A"/>
    <w:lvl w:ilvl="0" w:tplc="47D2D01E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>
    <w:nsid w:val="735A0FEC"/>
    <w:multiLevelType w:val="hybridMultilevel"/>
    <w:tmpl w:val="C2EA2AF6"/>
    <w:lvl w:ilvl="0" w:tplc="957E72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752018B8"/>
    <w:multiLevelType w:val="hybridMultilevel"/>
    <w:tmpl w:val="FFC83892"/>
    <w:lvl w:ilvl="0" w:tplc="5E36BBBE">
      <w:start w:val="1"/>
      <w:numFmt w:val="decimal"/>
      <w:lvlText w:val="%1."/>
      <w:lvlJc w:val="left"/>
      <w:pPr>
        <w:ind w:left="2835" w:hanging="6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3600" w:hanging="480"/>
      </w:pPr>
    </w:lvl>
    <w:lvl w:ilvl="3" w:tplc="0409000F" w:tentative="1">
      <w:start w:val="1"/>
      <w:numFmt w:val="decimal"/>
      <w:lvlText w:val="%4."/>
      <w:lvlJc w:val="left"/>
      <w:pPr>
        <w:ind w:left="40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5040" w:hanging="480"/>
      </w:pPr>
    </w:lvl>
    <w:lvl w:ilvl="6" w:tplc="0409000F" w:tentative="1">
      <w:start w:val="1"/>
      <w:numFmt w:val="decimal"/>
      <w:lvlText w:val="%7."/>
      <w:lvlJc w:val="left"/>
      <w:pPr>
        <w:ind w:left="55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0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6480" w:hanging="480"/>
      </w:pPr>
    </w:lvl>
  </w:abstractNum>
  <w:abstractNum w:abstractNumId="24">
    <w:nsid w:val="77F8241E"/>
    <w:multiLevelType w:val="hybridMultilevel"/>
    <w:tmpl w:val="519C51D2"/>
    <w:lvl w:ilvl="0" w:tplc="2FD2D984">
      <w:start w:val="1"/>
      <w:numFmt w:val="japaneseCounting"/>
      <w:lvlText w:val="%1、"/>
      <w:lvlJc w:val="left"/>
      <w:pPr>
        <w:ind w:left="14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5">
    <w:nsid w:val="78C325FB"/>
    <w:multiLevelType w:val="hybridMultilevel"/>
    <w:tmpl w:val="F2240E3E"/>
    <w:lvl w:ilvl="0" w:tplc="B2A85AD4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7AB7214C"/>
    <w:multiLevelType w:val="hybridMultilevel"/>
    <w:tmpl w:val="09F41052"/>
    <w:lvl w:ilvl="0" w:tplc="9062A936">
      <w:start w:val="1"/>
      <w:numFmt w:val="bullet"/>
      <w:lvlText w:val=""/>
      <w:lvlJc w:val="left"/>
      <w:pPr>
        <w:ind w:left="397" w:hanging="397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7BBE0819"/>
    <w:multiLevelType w:val="hybridMultilevel"/>
    <w:tmpl w:val="9CF29F0A"/>
    <w:lvl w:ilvl="0" w:tplc="F330214A">
      <w:start w:val="1"/>
      <w:numFmt w:val="upperLetter"/>
      <w:lvlText w:val="%1."/>
      <w:lvlJc w:val="left"/>
      <w:pPr>
        <w:ind w:left="794" w:hanging="43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8"/>
  </w:num>
  <w:num w:numId="2">
    <w:abstractNumId w:val="5"/>
  </w:num>
  <w:num w:numId="3">
    <w:abstractNumId w:val="24"/>
  </w:num>
  <w:num w:numId="4">
    <w:abstractNumId w:val="21"/>
  </w:num>
  <w:num w:numId="5">
    <w:abstractNumId w:val="17"/>
  </w:num>
  <w:num w:numId="6">
    <w:abstractNumId w:val="10"/>
  </w:num>
  <w:num w:numId="7">
    <w:abstractNumId w:val="6"/>
  </w:num>
  <w:num w:numId="8">
    <w:abstractNumId w:val="11"/>
  </w:num>
  <w:num w:numId="9">
    <w:abstractNumId w:val="23"/>
  </w:num>
  <w:num w:numId="10">
    <w:abstractNumId w:val="3"/>
  </w:num>
  <w:num w:numId="11">
    <w:abstractNumId w:val="0"/>
  </w:num>
  <w:num w:numId="12">
    <w:abstractNumId w:val="25"/>
  </w:num>
  <w:num w:numId="13">
    <w:abstractNumId w:val="19"/>
  </w:num>
  <w:num w:numId="14">
    <w:abstractNumId w:val="1"/>
  </w:num>
  <w:num w:numId="15">
    <w:abstractNumId w:val="22"/>
  </w:num>
  <w:num w:numId="16">
    <w:abstractNumId w:val="2"/>
  </w:num>
  <w:num w:numId="17">
    <w:abstractNumId w:val="26"/>
  </w:num>
  <w:num w:numId="18">
    <w:abstractNumId w:val="16"/>
  </w:num>
  <w:num w:numId="19">
    <w:abstractNumId w:val="13"/>
  </w:num>
  <w:num w:numId="20">
    <w:abstractNumId w:val="9"/>
  </w:num>
  <w:num w:numId="21">
    <w:abstractNumId w:val="4"/>
  </w:num>
  <w:num w:numId="22">
    <w:abstractNumId w:val="14"/>
  </w:num>
  <w:num w:numId="23">
    <w:abstractNumId w:val="20"/>
  </w:num>
  <w:num w:numId="24">
    <w:abstractNumId w:val="27"/>
  </w:num>
  <w:num w:numId="25">
    <w:abstractNumId w:val="7"/>
  </w:num>
  <w:num w:numId="26">
    <w:abstractNumId w:val="18"/>
  </w:num>
  <w:num w:numId="27">
    <w:abstractNumId w:val="15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C37"/>
    <w:rsid w:val="0007034B"/>
    <w:rsid w:val="00072E12"/>
    <w:rsid w:val="000C34BC"/>
    <w:rsid w:val="00131D9F"/>
    <w:rsid w:val="00132FB4"/>
    <w:rsid w:val="00136EA1"/>
    <w:rsid w:val="00160393"/>
    <w:rsid w:val="00182088"/>
    <w:rsid w:val="001B01E5"/>
    <w:rsid w:val="00203E0A"/>
    <w:rsid w:val="00221559"/>
    <w:rsid w:val="0026128D"/>
    <w:rsid w:val="00263784"/>
    <w:rsid w:val="00305EA5"/>
    <w:rsid w:val="00314698"/>
    <w:rsid w:val="003674D3"/>
    <w:rsid w:val="00380B71"/>
    <w:rsid w:val="003C75C0"/>
    <w:rsid w:val="00427ACC"/>
    <w:rsid w:val="00430F34"/>
    <w:rsid w:val="0045100C"/>
    <w:rsid w:val="004563FC"/>
    <w:rsid w:val="004C0396"/>
    <w:rsid w:val="00573154"/>
    <w:rsid w:val="005C0D1E"/>
    <w:rsid w:val="00641065"/>
    <w:rsid w:val="006572DE"/>
    <w:rsid w:val="00681E1C"/>
    <w:rsid w:val="0068436F"/>
    <w:rsid w:val="006A22F8"/>
    <w:rsid w:val="007155B6"/>
    <w:rsid w:val="00737B1B"/>
    <w:rsid w:val="007573DB"/>
    <w:rsid w:val="00772A4F"/>
    <w:rsid w:val="00791BEE"/>
    <w:rsid w:val="007A3353"/>
    <w:rsid w:val="00801976"/>
    <w:rsid w:val="0082111A"/>
    <w:rsid w:val="00821E6B"/>
    <w:rsid w:val="0083354D"/>
    <w:rsid w:val="008809FE"/>
    <w:rsid w:val="008A3883"/>
    <w:rsid w:val="008A39E5"/>
    <w:rsid w:val="008D069D"/>
    <w:rsid w:val="0093244A"/>
    <w:rsid w:val="00952085"/>
    <w:rsid w:val="009F3A11"/>
    <w:rsid w:val="00A1091D"/>
    <w:rsid w:val="00A33AAC"/>
    <w:rsid w:val="00A51C37"/>
    <w:rsid w:val="00A53FC3"/>
    <w:rsid w:val="00A67587"/>
    <w:rsid w:val="00AB780C"/>
    <w:rsid w:val="00AD2141"/>
    <w:rsid w:val="00B23523"/>
    <w:rsid w:val="00BA1E36"/>
    <w:rsid w:val="00BD7623"/>
    <w:rsid w:val="00C21CE2"/>
    <w:rsid w:val="00C551A5"/>
    <w:rsid w:val="00C55D38"/>
    <w:rsid w:val="00C619C0"/>
    <w:rsid w:val="00C704C7"/>
    <w:rsid w:val="00C82BEF"/>
    <w:rsid w:val="00C92F18"/>
    <w:rsid w:val="00CA6D0A"/>
    <w:rsid w:val="00CB406D"/>
    <w:rsid w:val="00CF2E2A"/>
    <w:rsid w:val="00D12A7A"/>
    <w:rsid w:val="00DE19D8"/>
    <w:rsid w:val="00DF4879"/>
    <w:rsid w:val="00E44B05"/>
    <w:rsid w:val="00E67FA7"/>
    <w:rsid w:val="00EA65A0"/>
    <w:rsid w:val="00F46CC1"/>
    <w:rsid w:val="00F6213F"/>
    <w:rsid w:val="00FB3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DE58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2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2FB4"/>
    <w:rPr>
      <w:sz w:val="20"/>
      <w:szCs w:val="20"/>
    </w:rPr>
  </w:style>
  <w:style w:type="table" w:styleId="a8">
    <w:name w:val="Table Grid"/>
    <w:basedOn w:val="a1"/>
    <w:uiPriority w:val="59"/>
    <w:rsid w:val="0082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621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6213F"/>
    <w:rPr>
      <w:rFonts w:ascii="細明體" w:eastAsia="細明體" w:hAnsi="細明體" w:cs="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41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6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100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3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32FB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32F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32FB4"/>
    <w:rPr>
      <w:sz w:val="20"/>
      <w:szCs w:val="20"/>
    </w:rPr>
  </w:style>
  <w:style w:type="table" w:styleId="a8">
    <w:name w:val="Table Grid"/>
    <w:basedOn w:val="a1"/>
    <w:uiPriority w:val="59"/>
    <w:rsid w:val="0082111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F6213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basedOn w:val="a0"/>
    <w:link w:val="HTML"/>
    <w:uiPriority w:val="99"/>
    <w:rsid w:val="00F6213F"/>
    <w:rPr>
      <w:rFonts w:ascii="細明體" w:eastAsia="細明體" w:hAnsi="細明體" w:cs="細明體"/>
      <w:kern w:val="0"/>
    </w:rPr>
  </w:style>
  <w:style w:type="paragraph" w:styleId="a9">
    <w:name w:val="Balloon Text"/>
    <w:basedOn w:val="a"/>
    <w:link w:val="aa"/>
    <w:uiPriority w:val="99"/>
    <w:semiHidden/>
    <w:unhideWhenUsed/>
    <w:rsid w:val="006410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410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deed.zh_TW" TargetMode="External"/><Relationship Id="rId13" Type="http://schemas.openxmlformats.org/officeDocument/2006/relationships/hyperlink" Target="http://creativecommons.org/licenses/by-nc-sa/3.0/tw/deed.zh_TW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deed.zh_TW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w.aca.ntu.edu.tw/ntu-ocw/index.php/ocw/copyright_declaration" TargetMode="External"/><Relationship Id="rId10" Type="http://schemas.openxmlformats.org/officeDocument/2006/relationships/hyperlink" Target="http://creativecommons.org/licenses/by-nc-sa/3.0/tw/deed.zh_T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-nc-sa/3.0/tw/deed.zh_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563</Words>
  <Characters>3213</Characters>
  <Application>Microsoft Office Word</Application>
  <DocSecurity>0</DocSecurity>
  <Lines>26</Lines>
  <Paragraphs>7</Paragraphs>
  <ScaleCrop>false</ScaleCrop>
  <Company/>
  <LinksUpToDate>false</LinksUpToDate>
  <CharactersWithSpaces>3769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ingni</dc:creator>
  <cp:keywords/>
  <dc:description/>
  <cp:lastModifiedBy>User</cp:lastModifiedBy>
  <cp:revision>8</cp:revision>
  <dcterms:created xsi:type="dcterms:W3CDTF">2013-03-26T02:03:00Z</dcterms:created>
  <dcterms:modified xsi:type="dcterms:W3CDTF">2013-07-15T02:15:00Z</dcterms:modified>
</cp:coreProperties>
</file>