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7" w:rsidRPr="00E87B84" w:rsidRDefault="007644C7" w:rsidP="007644C7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7644C7" w:rsidRPr="00E87B84" w:rsidRDefault="007644C7" w:rsidP="007644C7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7644C7" w:rsidRPr="00E87B84" w:rsidRDefault="007644C7" w:rsidP="007644C7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7644C7" w:rsidRDefault="007644C7" w:rsidP="007644C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7644C7" w:rsidRDefault="007644C7" w:rsidP="007644C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7644C7" w:rsidRDefault="007644C7" w:rsidP="007644C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7644C7" w:rsidRDefault="007644C7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36"/>
          <w:szCs w:val="28"/>
        </w:rPr>
      </w:pPr>
    </w:p>
    <w:p w:rsidR="00FB2785" w:rsidRPr="007644C7" w:rsidRDefault="007644C7" w:rsidP="007644C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PMingLiU"/>
          <w:color w:val="000000"/>
          <w:sz w:val="40"/>
          <w:szCs w:val="28"/>
        </w:rPr>
      </w:pPr>
      <w:r w:rsidRPr="007644C7">
        <w:rPr>
          <w:rFonts w:ascii="楷体" w:eastAsia="楷体" w:hAnsi="楷体" w:cs="PMingLiU" w:hint="eastAsia"/>
          <w:color w:val="000000"/>
          <w:sz w:val="40"/>
          <w:szCs w:val="28"/>
        </w:rPr>
        <w:t>拾伍、</w:t>
      </w:r>
      <w:r w:rsidR="00FB2785" w:rsidRPr="007644C7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詞曲</w:t>
      </w: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36"/>
          <w:szCs w:val="28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馮延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巳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＜菩薩蠻＞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鬟堆枕釵橫鳳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，溶溶春水楊花夢。紅燭淚闌干，翠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屏煙浪寒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 xml:space="preserve">。 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錦壺催畫箭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，玉佩天涯遠。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和淚試嚴妝，落梅飛曉霜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56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馮延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巳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＜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採桑子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小堂深靜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無人到，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滿院春風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惆悵牆東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，一樹櫻桃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帶雨紅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 xml:space="preserve">。 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愁心似醉兼如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病，欲語還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慵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日暮疏鐘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，雙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燕歸棲畫閣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中。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1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秦觀＜踏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莎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行＞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霧失樓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台，月迷津度。桃源望斷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無尋處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。可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堪孤館閉春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寒，杜鵑聲裡斜陽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暮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 xml:space="preserve">。 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驛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寄梅花，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魚傳尺素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。砌成此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恨無重數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郴江幸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自繞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郴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山，為誰流下瀟湘去。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2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秦觀＜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浣溪沙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漠漠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輕寒上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小樓，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曉陰無奈似窮秋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，淡煙流水畫屏幽。自在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飛花輕似夢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無邊絲雨細如愁，寶簾閑掛小銀鉤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3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秦觀＜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江城子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西城楊柳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弄春柔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動離憂，淚難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收。猶憶多情，曾為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繫歸舟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碧野朱橋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當日事，人不見，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水空流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 xml:space="preserve">。 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韶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華不為少年留。恨悠悠，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幾時休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。飛絮落花時候，一登樓。便做春江都是淚，流不盡，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許多愁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4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7644C7" w:rsidRDefault="007644C7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28"/>
          <w:szCs w:val="28"/>
        </w:rPr>
      </w:pPr>
    </w:p>
    <w:p w:rsidR="007644C7" w:rsidRDefault="007644C7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28"/>
          <w:szCs w:val="28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lastRenderedPageBreak/>
        <w:t>秦觀＜</w:t>
      </w:r>
      <w:proofErr w:type="gramStart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滿庭芳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山抹微雲，天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黏衰草，畫角聲斷譙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門。暫停征棹，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聊共引離尊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。多少蓬萊舊事，空回首，煙靄紛紛。斜陽外，寒鴉萬點，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流水繞孤村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 銷魂當此際，香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囊暗解，羅帶輕分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。漫贏得青樓，薄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倖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名存。此去何時見也？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襟袖上，空惹嘀痕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。傷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情處，高城望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斷，燈火已黃昏。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5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  <w:lang w:eastAsia="zh-TW"/>
        </w:rPr>
      </w:pPr>
    </w:p>
    <w:p w:rsidR="00FB2785" w:rsidRPr="00FB2785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關漢卿＜南呂一枝花</w:t>
      </w:r>
      <w:proofErr w:type="gramStart"/>
      <w:r w:rsidRPr="00FB2785">
        <w:rPr>
          <w:rFonts w:ascii="楷体" w:eastAsia="PMingLiU" w:hAnsi="楷体" w:cs="PMingLiU" w:hint="eastAsia"/>
          <w:color w:val="000000"/>
          <w:sz w:val="28"/>
          <w:szCs w:val="28"/>
          <w:lang w:eastAsia="zh-TW"/>
        </w:rPr>
        <w:t>•</w:t>
      </w:r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不伏老</w:t>
      </w:r>
      <w:proofErr w:type="gramEnd"/>
      <w:r w:rsidRPr="00FB2785"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＞</w:t>
      </w:r>
      <w:r>
        <w:rPr>
          <w:rFonts w:ascii="楷体" w:eastAsia="楷体" w:hAnsi="楷体" w:cs="PMingLiU" w:hint="eastAsia"/>
          <w:color w:val="000000"/>
          <w:sz w:val="28"/>
          <w:szCs w:val="28"/>
          <w:lang w:eastAsia="zh-TW"/>
        </w:rPr>
        <w:t>:</w:t>
      </w:r>
    </w:p>
    <w:p w:rsidR="00FB2785" w:rsidRPr="007644C7" w:rsidRDefault="00FB2785" w:rsidP="00FB278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我是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個蒸不爛煮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不熟捶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不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扁炒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不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爆響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璫璫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一粒銅豌豆。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恁子弟每誰教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你鑽入他鋤不斷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斫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不下姐不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開頓不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脫慢騰騰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千層錦套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頭。我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翫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的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是梁園月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，飲的是東京酒，賞的是洛陽花，攀的是章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臺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柳。我也會圍棋，會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蹴踘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會打圍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會插科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，會歌舞，會吹彈，會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嚥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作，會吟詩，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會雙陸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。你便落了我牙，歪了我口，瘸了我腿，折了我手：天賜與我這幾般兒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歹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症候，尚兀自不肯休。則除是閻王親自喚，神鬼自來勾，三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魂歸地府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，七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魄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喪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冥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幽，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天那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！那其間</w:t>
      </w:r>
      <w:proofErr w:type="gramStart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纔</w:t>
      </w:r>
      <w:proofErr w:type="gramEnd"/>
      <w:r w:rsidRPr="007644C7">
        <w:rPr>
          <w:rFonts w:ascii="楷体" w:eastAsia="楷体" w:hAnsi="楷体" w:cs="DFKaiShu SB Estd BF"/>
          <w:color w:val="000000"/>
          <w:sz w:val="24"/>
          <w:szCs w:val="28"/>
          <w:lang w:eastAsia="zh-TW"/>
        </w:rPr>
        <w:t>不向煙花路兒上走。</w:t>
      </w:r>
      <w:r w:rsidRPr="007644C7">
        <w:rPr>
          <w:rFonts w:ascii="楷体" w:eastAsia="楷体" w:hAnsi="楷体" w:cs="DFKaiShu SB Estd BF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6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970" w:rsidRDefault="00646970">
      <w:pPr>
        <w:rPr>
          <w:rFonts w:ascii="楷体" w:eastAsia="楷体" w:hAnsi="楷体"/>
          <w:sz w:val="28"/>
          <w:szCs w:val="28"/>
          <w:lang w:eastAsia="zh-TW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版權</w:t>
            </w:r>
            <w:r w:rsidRPr="00A74EFA">
              <w:rPr>
                <w:rFonts w:ascii="楷体" w:eastAsia="楷体" w:hAnsi="楷体"/>
                <w:sz w:val="24"/>
                <w:szCs w:val="24"/>
              </w:rPr>
              <w:br/>
            </w:r>
            <w:r w:rsidRPr="00A74EFA">
              <w:rPr>
                <w:rFonts w:ascii="楷体" w:eastAsia="楷体" w:hAnsi="楷体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作者／來源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嬌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鬟堆枕釵橫鳳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…落梅飛曉霜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9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A74EFA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Times New Roman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馮延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巳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＜菩薩蠻＞</w:t>
            </w:r>
          </w:p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小堂深靜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無人到…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雙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燕歸棲畫閣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中。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0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DFKai-SB"/>
                <w:color w:val="000000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馮延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巳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＜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採桑子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74EFA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Times New Roman"/>
                <w:sz w:val="24"/>
                <w:szCs w:val="24"/>
                <w:lang w:eastAsia="zh-TW"/>
              </w:rPr>
            </w:pP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霧失樓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台…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為誰流</w:t>
            </w:r>
          </w:p>
          <w:p w:rsidR="00FB2785" w:rsidRPr="00A74EFA" w:rsidRDefault="00A74EFA" w:rsidP="00A74EFA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下瀟湘去。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1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A74EFA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PMingLiU"/>
                <w:color w:val="000000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秦觀＜踏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莎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行＞</w:t>
            </w:r>
          </w:p>
          <w:p w:rsidR="00FB2785" w:rsidRPr="00A74EFA" w:rsidRDefault="00FB2785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漠漠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輕寒上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小樓…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…寶簾閑掛小銀鉤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2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DFKai-SB"/>
                <w:color w:val="000000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秦觀＜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浣溪沙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西城楊柳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弄春柔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流不盡，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許多愁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3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DFKai-SB"/>
                <w:color w:val="000000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秦觀＜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江城子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976AAA" w:rsidRDefault="00976AAA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976AAA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山抹微雲…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…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  <w:lang w:eastAsia="zh-TW"/>
              </w:rPr>
              <w:t>燈火已黃昏。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4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A74EFA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PMingLiU"/>
                <w:color w:val="000000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秦觀＜</w:t>
            </w:r>
            <w:proofErr w:type="gramStart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滿庭芳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FB2785" w:rsidRPr="00A74EFA" w:rsidRDefault="00FB2785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  <w:lang w:eastAsia="zh-TW"/>
              </w:rPr>
              <w:t>屬公共領域之著作。</w:t>
            </w:r>
          </w:p>
        </w:tc>
      </w:tr>
      <w:tr w:rsidR="00FB2785" w:rsidRPr="00A74EFA" w:rsidTr="0045264C">
        <w:tc>
          <w:tcPr>
            <w:tcW w:w="85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  <w:lang w:eastAsia="zh-CN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FB2785" w:rsidRPr="00A74EFA" w:rsidRDefault="00A74EFA" w:rsidP="00A74EFA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我是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個蒸不爛煮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不熟捶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不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扁炒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不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爆響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璫璫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一粒銅豌豆…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…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那其間</w:t>
            </w:r>
            <w:proofErr w:type="gramStart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纔</w:t>
            </w:r>
            <w:proofErr w:type="gramEnd"/>
            <w:r w:rsidRPr="00A74EFA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不向煙花路兒上走。</w:t>
            </w:r>
          </w:p>
        </w:tc>
        <w:tc>
          <w:tcPr>
            <w:tcW w:w="992" w:type="dxa"/>
            <w:shd w:val="clear" w:color="auto" w:fill="auto"/>
          </w:tcPr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55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FB2785" w:rsidRPr="00A74EFA" w:rsidRDefault="00A74EFA" w:rsidP="00A74E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/>
                <w:sz w:val="24"/>
                <w:szCs w:val="24"/>
                <w:lang w:eastAsia="zh-TW"/>
              </w:rPr>
            </w:pP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關漢卿＜南呂一枝花</w:t>
            </w:r>
            <w:proofErr w:type="gramStart"/>
            <w:r w:rsidRPr="00A74EFA">
              <w:rPr>
                <w:rFonts w:ascii="楷体" w:eastAsia="PMingLiU" w:hAnsi="楷体" w:cs="PMingLiU" w:hint="eastAsia"/>
                <w:color w:val="000000"/>
                <w:sz w:val="24"/>
                <w:szCs w:val="24"/>
                <w:lang w:eastAsia="zh-TW"/>
              </w:rPr>
              <w:t>•</w:t>
            </w:r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不伏老</w:t>
            </w:r>
            <w:proofErr w:type="gramEnd"/>
            <w:r w:rsidRPr="00A74EFA">
              <w:rPr>
                <w:rFonts w:ascii="楷体" w:eastAsia="楷体" w:hAnsi="楷体" w:cs="PMingLiU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FB2785" w:rsidRPr="00A74EFA" w:rsidRDefault="00FB2785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A74EFA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A74EFA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A74EFA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</w:tbl>
    <w:p w:rsidR="00FB2785" w:rsidRPr="00FB2785" w:rsidRDefault="00FB2785">
      <w:pPr>
        <w:rPr>
          <w:rFonts w:ascii="楷体" w:eastAsia="楷体" w:hAnsi="楷体"/>
          <w:sz w:val="28"/>
          <w:szCs w:val="28"/>
          <w:lang w:eastAsia="zh-TW"/>
        </w:rPr>
      </w:pPr>
    </w:p>
    <w:sectPr w:rsidR="00FB2785" w:rsidRPr="00FB2785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8C" w:rsidRDefault="00924C8C" w:rsidP="00267A60">
      <w:pPr>
        <w:spacing w:after="0" w:line="240" w:lineRule="auto"/>
      </w:pPr>
      <w:r>
        <w:separator/>
      </w:r>
    </w:p>
  </w:endnote>
  <w:endnote w:type="continuationSeparator" w:id="0">
    <w:p w:rsidR="00924C8C" w:rsidRDefault="00924C8C" w:rsidP="0026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AA" w:rsidRDefault="00976AAA">
    <w:pPr>
      <w:pStyle w:val="Footer"/>
      <w:jc w:val="center"/>
    </w:pPr>
    <w:r w:rsidRPr="00976AA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-20955</wp:posOffset>
          </wp:positionV>
          <wp:extent cx="2247900" cy="657225"/>
          <wp:effectExtent l="0" t="0" r="0" b="0"/>
          <wp:wrapNone/>
          <wp:docPr id="12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490650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267A60" w:rsidRDefault="00267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8C" w:rsidRDefault="00924C8C" w:rsidP="00267A60">
      <w:pPr>
        <w:spacing w:after="0" w:line="240" w:lineRule="auto"/>
      </w:pPr>
      <w:r>
        <w:separator/>
      </w:r>
    </w:p>
  </w:footnote>
  <w:footnote w:type="continuationSeparator" w:id="0">
    <w:p w:rsidR="00924C8C" w:rsidRDefault="00924C8C" w:rsidP="0026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2785"/>
    <w:rsid w:val="00267A60"/>
    <w:rsid w:val="00646970"/>
    <w:rsid w:val="006E49F2"/>
    <w:rsid w:val="007644C7"/>
    <w:rsid w:val="00924C8C"/>
    <w:rsid w:val="00976AAA"/>
    <w:rsid w:val="00A74EFA"/>
    <w:rsid w:val="00FB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785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7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85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6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A60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6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60"/>
    <w:rPr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7644C7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7644C7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7644C7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764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5</cp:revision>
  <dcterms:created xsi:type="dcterms:W3CDTF">2012-09-28T17:50:00Z</dcterms:created>
  <dcterms:modified xsi:type="dcterms:W3CDTF">2012-10-15T10:15:00Z</dcterms:modified>
</cp:coreProperties>
</file>