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AA" w:rsidRPr="006068CF" w:rsidRDefault="007B4EAA" w:rsidP="007B4EAA">
      <w:pPr>
        <w:widowControl/>
        <w:pBdr>
          <w:bottom w:val="single" w:sz="2" w:space="0" w:color="D6D5D5"/>
        </w:pBdr>
        <w:outlineLvl w:val="1"/>
        <w:rPr>
          <w:rFonts w:ascii="Georgia" w:eastAsia="新細明體" w:hAnsi="Georgia" w:cs="新細明體"/>
          <w:b/>
          <w:bCs/>
          <w:color w:val="663300"/>
          <w:kern w:val="0"/>
          <w:sz w:val="41"/>
          <w:szCs w:val="41"/>
        </w:rPr>
      </w:pPr>
      <w:r w:rsidRPr="006068CF">
        <w:rPr>
          <w:rFonts w:ascii="Georgia" w:eastAsia="新細明體" w:hAnsi="Georgia" w:cs="新細明體"/>
          <w:b/>
          <w:bCs/>
          <w:color w:val="663300"/>
          <w:kern w:val="0"/>
          <w:sz w:val="41"/>
          <w:szCs w:val="41"/>
        </w:rPr>
        <w:t>莊子</w:t>
      </w:r>
    </w:p>
    <w:p w:rsidR="007B4EAA" w:rsidRPr="006068CF" w:rsidRDefault="007B4EAA" w:rsidP="007B4EAA">
      <w:pPr>
        <w:widowControl/>
        <w:spacing w:line="480" w:lineRule="atLeast"/>
        <w:outlineLvl w:val="3"/>
        <w:rPr>
          <w:rFonts w:ascii="Verdana" w:eastAsia="新細明體" w:hAnsi="Verdana" w:cs="新細明體"/>
          <w:b/>
          <w:bCs/>
          <w:color w:val="996600"/>
          <w:kern w:val="0"/>
          <w:sz w:val="23"/>
          <w:szCs w:val="23"/>
        </w:rPr>
      </w:pPr>
      <w:r w:rsidRPr="006068CF">
        <w:rPr>
          <w:rFonts w:ascii="Verdana" w:eastAsia="新細明體" w:hAnsi="Verdana" w:cs="新細明體"/>
          <w:b/>
          <w:bCs/>
          <w:color w:val="996600"/>
          <w:kern w:val="0"/>
          <w:sz w:val="23"/>
          <w:szCs w:val="23"/>
        </w:rPr>
        <w:t>文學院</w:t>
      </w:r>
      <w:r w:rsidRPr="006068CF">
        <w:rPr>
          <w:rFonts w:ascii="Verdana" w:eastAsia="新細明體" w:hAnsi="Verdana" w:cs="新細明體"/>
          <w:b/>
          <w:bCs/>
          <w:color w:val="996600"/>
          <w:kern w:val="0"/>
          <w:sz w:val="23"/>
          <w:szCs w:val="23"/>
        </w:rPr>
        <w:t xml:space="preserve"> </w:t>
      </w:r>
      <w:r w:rsidRPr="006068CF">
        <w:rPr>
          <w:rFonts w:ascii="Verdana" w:eastAsia="新細明體" w:hAnsi="Verdana" w:cs="新細明體"/>
          <w:b/>
          <w:bCs/>
          <w:color w:val="996600"/>
          <w:kern w:val="0"/>
          <w:sz w:val="23"/>
          <w:szCs w:val="23"/>
        </w:rPr>
        <w:t>中國文學系</w:t>
      </w:r>
      <w:r w:rsidRPr="006068CF">
        <w:rPr>
          <w:rFonts w:ascii="Verdana" w:eastAsia="新細明體" w:hAnsi="Verdana" w:cs="新細明體"/>
          <w:b/>
          <w:bCs/>
          <w:color w:val="996600"/>
          <w:kern w:val="0"/>
          <w:sz w:val="23"/>
          <w:szCs w:val="23"/>
        </w:rPr>
        <w:t xml:space="preserve"> </w:t>
      </w:r>
      <w:r w:rsidRPr="006068CF">
        <w:rPr>
          <w:rFonts w:ascii="Verdana" w:eastAsia="新細明體" w:hAnsi="Verdana" w:cs="新細明體"/>
          <w:b/>
          <w:bCs/>
          <w:color w:val="996600"/>
          <w:kern w:val="0"/>
          <w:sz w:val="23"/>
          <w:szCs w:val="23"/>
        </w:rPr>
        <w:t>金嘉錫</w:t>
      </w:r>
    </w:p>
    <w:p w:rsidR="007B4EAA" w:rsidRPr="006068CF" w:rsidRDefault="007B4EAA" w:rsidP="007B4EAA">
      <w:pPr>
        <w:widowControl/>
        <w:spacing w:after="240"/>
        <w:outlineLvl w:val="2"/>
        <w:rPr>
          <w:rFonts w:ascii="Verdana" w:eastAsia="新細明體" w:hAnsi="Verdana" w:cs="新細明體"/>
          <w:b/>
          <w:bCs/>
          <w:color w:val="385B88"/>
          <w:spacing w:val="30"/>
          <w:kern w:val="0"/>
          <w:sz w:val="27"/>
          <w:szCs w:val="27"/>
        </w:rPr>
      </w:pPr>
      <w:r w:rsidRPr="006068CF">
        <w:rPr>
          <w:rFonts w:ascii="Verdana" w:eastAsia="新細明體" w:hAnsi="Verdana" w:cs="新細明體"/>
          <w:b/>
          <w:bCs/>
          <w:color w:val="385B88"/>
          <w:spacing w:val="30"/>
          <w:kern w:val="0"/>
          <w:sz w:val="27"/>
          <w:szCs w:val="27"/>
        </w:rPr>
        <w:t>課程簡介</w:t>
      </w:r>
    </w:p>
    <w:p w:rsidR="007B4EAA" w:rsidRPr="006068CF" w:rsidRDefault="007B4EAA" w:rsidP="007B4EAA">
      <w:pPr>
        <w:widowControl/>
        <w:spacing w:line="432" w:lineRule="atLeast"/>
        <w:jc w:val="both"/>
        <w:rPr>
          <w:rFonts w:ascii="Verdana" w:eastAsia="新細明體" w:hAnsi="Verdana" w:cs="新細明體"/>
          <w:color w:val="333333"/>
          <w:spacing w:val="24"/>
          <w:kern w:val="0"/>
          <w:sz w:val="20"/>
          <w:szCs w:val="20"/>
        </w:rPr>
      </w:pPr>
      <w:r w:rsidRPr="006068CF">
        <w:rPr>
          <w:rFonts w:ascii="Verdana" w:eastAsia="新細明體" w:hAnsi="Verdana" w:cs="新細明體"/>
          <w:b/>
          <w:bCs/>
          <w:color w:val="333333"/>
          <w:spacing w:val="24"/>
          <w:kern w:val="0"/>
          <w:sz w:val="20"/>
          <w:szCs w:val="20"/>
        </w:rPr>
        <w:t>中文課程名稱：</w:t>
      </w:r>
      <w:r w:rsidRPr="006068CF">
        <w:rPr>
          <w:rFonts w:ascii="Verdana" w:eastAsia="新細明體" w:hAnsi="Verdana" w:cs="新細明體"/>
          <w:color w:val="333333"/>
          <w:spacing w:val="24"/>
          <w:kern w:val="0"/>
          <w:sz w:val="20"/>
          <w:szCs w:val="20"/>
        </w:rPr>
        <w:t>莊子</w:t>
      </w:r>
      <w:r w:rsidRPr="006068CF">
        <w:rPr>
          <w:rFonts w:ascii="Verdana" w:eastAsia="新細明體" w:hAnsi="Verdana" w:cs="新細明體"/>
          <w:color w:val="333333"/>
          <w:spacing w:val="24"/>
          <w:kern w:val="0"/>
          <w:sz w:val="20"/>
          <w:szCs w:val="20"/>
        </w:rPr>
        <w:br/>
      </w:r>
      <w:r w:rsidRPr="006068CF">
        <w:rPr>
          <w:rFonts w:ascii="Verdana" w:eastAsia="新細明體" w:hAnsi="Verdana" w:cs="新細明體"/>
          <w:b/>
          <w:bCs/>
          <w:color w:val="333333"/>
          <w:spacing w:val="24"/>
          <w:kern w:val="0"/>
          <w:sz w:val="20"/>
          <w:szCs w:val="20"/>
        </w:rPr>
        <w:t>英文課程名稱：</w:t>
      </w:r>
      <w:proofErr w:type="spellStart"/>
      <w:r w:rsidRPr="006068CF">
        <w:rPr>
          <w:rFonts w:ascii="Verdana" w:eastAsia="新細明體" w:hAnsi="Verdana" w:cs="新細明體"/>
          <w:color w:val="333333"/>
          <w:spacing w:val="24"/>
          <w:kern w:val="0"/>
          <w:sz w:val="20"/>
          <w:szCs w:val="20"/>
        </w:rPr>
        <w:t>Metephor</w:t>
      </w:r>
      <w:proofErr w:type="spellEnd"/>
      <w:r w:rsidRPr="006068CF">
        <w:rPr>
          <w:rFonts w:ascii="Verdana" w:eastAsia="新細明體" w:hAnsi="Verdana" w:cs="新細明體"/>
          <w:color w:val="333333"/>
          <w:spacing w:val="24"/>
          <w:kern w:val="0"/>
          <w:sz w:val="20"/>
          <w:szCs w:val="20"/>
        </w:rPr>
        <w:t xml:space="preserve"> in literature of Chuang </w:t>
      </w:r>
      <w:proofErr w:type="spellStart"/>
      <w:r w:rsidRPr="006068CF">
        <w:rPr>
          <w:rFonts w:ascii="Verdana" w:eastAsia="新細明體" w:hAnsi="Verdana" w:cs="新細明體"/>
          <w:color w:val="333333"/>
          <w:spacing w:val="24"/>
          <w:kern w:val="0"/>
          <w:sz w:val="20"/>
          <w:szCs w:val="20"/>
        </w:rPr>
        <w:t>Tsu</w:t>
      </w:r>
      <w:proofErr w:type="spellEnd"/>
      <w:r w:rsidRPr="006068CF">
        <w:rPr>
          <w:rFonts w:ascii="Verdana" w:eastAsia="新細明體" w:hAnsi="Verdana" w:cs="新細明體"/>
          <w:color w:val="333333"/>
          <w:spacing w:val="24"/>
          <w:kern w:val="0"/>
          <w:sz w:val="20"/>
          <w:szCs w:val="20"/>
        </w:rPr>
        <w:br/>
      </w:r>
      <w:r w:rsidRPr="006068CF">
        <w:rPr>
          <w:rFonts w:ascii="Verdana" w:eastAsia="新細明體" w:hAnsi="Verdana" w:cs="新細明體"/>
          <w:b/>
          <w:bCs/>
          <w:color w:val="333333"/>
          <w:spacing w:val="24"/>
          <w:kern w:val="0"/>
          <w:sz w:val="20"/>
          <w:szCs w:val="20"/>
        </w:rPr>
        <w:t>授課教師：</w:t>
      </w:r>
      <w:r w:rsidRPr="006068CF">
        <w:rPr>
          <w:rFonts w:ascii="Verdana" w:eastAsia="新細明體" w:hAnsi="Verdana" w:cs="新細明體"/>
          <w:color w:val="333333"/>
          <w:spacing w:val="24"/>
          <w:kern w:val="0"/>
          <w:sz w:val="20"/>
          <w:szCs w:val="20"/>
        </w:rPr>
        <w:t>金嘉錫</w:t>
      </w:r>
      <w:r w:rsidRPr="006068CF">
        <w:rPr>
          <w:rFonts w:ascii="Verdana" w:eastAsia="新細明體" w:hAnsi="Verdana" w:cs="新細明體"/>
          <w:color w:val="333333"/>
          <w:spacing w:val="24"/>
          <w:kern w:val="0"/>
          <w:sz w:val="20"/>
          <w:szCs w:val="20"/>
        </w:rPr>
        <w:br/>
      </w:r>
      <w:r w:rsidRPr="006068CF">
        <w:rPr>
          <w:rFonts w:ascii="Verdana" w:eastAsia="新細明體" w:hAnsi="Verdana" w:cs="新細明體"/>
          <w:b/>
          <w:bCs/>
          <w:color w:val="333333"/>
          <w:spacing w:val="24"/>
          <w:kern w:val="0"/>
          <w:sz w:val="20"/>
          <w:szCs w:val="20"/>
        </w:rPr>
        <w:t>學分數：</w:t>
      </w:r>
      <w:r w:rsidRPr="006068CF">
        <w:rPr>
          <w:rFonts w:ascii="Verdana" w:eastAsia="新細明體" w:hAnsi="Verdana" w:cs="新細明體"/>
          <w:color w:val="333333"/>
          <w:spacing w:val="24"/>
          <w:kern w:val="0"/>
          <w:sz w:val="20"/>
          <w:szCs w:val="20"/>
        </w:rPr>
        <w:t>2</w:t>
      </w:r>
      <w:r w:rsidRPr="006068CF">
        <w:rPr>
          <w:rFonts w:ascii="Verdana" w:eastAsia="新細明體" w:hAnsi="Verdana" w:cs="新細明體"/>
          <w:color w:val="333333"/>
          <w:spacing w:val="24"/>
          <w:kern w:val="0"/>
          <w:sz w:val="20"/>
          <w:szCs w:val="20"/>
        </w:rPr>
        <w:t>學分</w:t>
      </w:r>
      <w:r w:rsidRPr="006068CF">
        <w:rPr>
          <w:rFonts w:ascii="Verdana" w:eastAsia="新細明體" w:hAnsi="Verdana" w:cs="新細明體"/>
          <w:color w:val="333333"/>
          <w:spacing w:val="24"/>
          <w:kern w:val="0"/>
          <w:sz w:val="20"/>
          <w:szCs w:val="20"/>
        </w:rPr>
        <w:br/>
      </w:r>
      <w:r w:rsidRPr="006068CF">
        <w:rPr>
          <w:rFonts w:ascii="Verdana" w:eastAsia="新細明體" w:hAnsi="Verdana" w:cs="新細明體"/>
          <w:b/>
          <w:bCs/>
          <w:color w:val="333333"/>
          <w:spacing w:val="24"/>
          <w:kern w:val="0"/>
          <w:sz w:val="20"/>
          <w:szCs w:val="20"/>
        </w:rPr>
        <w:t>開課單位：</w:t>
      </w:r>
      <w:r w:rsidRPr="006068CF">
        <w:rPr>
          <w:rFonts w:ascii="Verdana" w:eastAsia="新細明體" w:hAnsi="Verdana" w:cs="新細明體"/>
          <w:color w:val="333333"/>
          <w:spacing w:val="24"/>
          <w:kern w:val="0"/>
          <w:sz w:val="20"/>
          <w:szCs w:val="20"/>
        </w:rPr>
        <w:t>文學院</w:t>
      </w:r>
      <w:r w:rsidRPr="006068CF">
        <w:rPr>
          <w:rFonts w:ascii="Verdana" w:eastAsia="新細明體" w:hAnsi="Verdana" w:cs="新細明體"/>
          <w:color w:val="333333"/>
          <w:spacing w:val="24"/>
          <w:kern w:val="0"/>
          <w:sz w:val="20"/>
          <w:szCs w:val="20"/>
        </w:rPr>
        <w:t xml:space="preserve"> </w:t>
      </w:r>
      <w:r w:rsidRPr="006068CF">
        <w:rPr>
          <w:rFonts w:ascii="Verdana" w:eastAsia="新細明體" w:hAnsi="Verdana" w:cs="新細明體"/>
          <w:color w:val="333333"/>
          <w:spacing w:val="24"/>
          <w:kern w:val="0"/>
          <w:sz w:val="20"/>
          <w:szCs w:val="20"/>
        </w:rPr>
        <w:t>中國文學系</w:t>
      </w:r>
    </w:p>
    <w:p w:rsidR="007B4EAA" w:rsidRPr="006068CF" w:rsidRDefault="007B4EAA" w:rsidP="007B4EAA">
      <w:pPr>
        <w:widowControl/>
        <w:spacing w:after="240"/>
        <w:outlineLvl w:val="2"/>
        <w:rPr>
          <w:rFonts w:ascii="Verdana" w:eastAsia="新細明體" w:hAnsi="Verdana" w:cs="新細明體"/>
          <w:b/>
          <w:bCs/>
          <w:color w:val="385B88"/>
          <w:spacing w:val="30"/>
          <w:kern w:val="0"/>
          <w:sz w:val="27"/>
          <w:szCs w:val="27"/>
        </w:rPr>
      </w:pPr>
      <w:r w:rsidRPr="006068CF">
        <w:rPr>
          <w:rFonts w:ascii="Verdana" w:eastAsia="新細明體" w:hAnsi="Verdana" w:cs="新細明體"/>
          <w:b/>
          <w:bCs/>
          <w:color w:val="385B88"/>
          <w:spacing w:val="30"/>
          <w:kern w:val="0"/>
          <w:sz w:val="27"/>
          <w:szCs w:val="27"/>
        </w:rPr>
        <w:t>課程概述</w:t>
      </w:r>
    </w:p>
    <w:p w:rsidR="007B4EAA" w:rsidRPr="006068CF" w:rsidRDefault="007B4EAA" w:rsidP="007B4EAA">
      <w:pPr>
        <w:widowControl/>
        <w:spacing w:after="240"/>
        <w:outlineLvl w:val="2"/>
        <w:rPr>
          <w:rFonts w:ascii="Verdana" w:eastAsia="新細明體" w:hAnsi="Verdana" w:cs="新細明體"/>
          <w:color w:val="333333"/>
          <w:spacing w:val="24"/>
          <w:kern w:val="0"/>
          <w:sz w:val="20"/>
          <w:szCs w:val="20"/>
        </w:rPr>
      </w:pPr>
      <w:r w:rsidRPr="006068CF">
        <w:rPr>
          <w:rFonts w:ascii="Verdana" w:eastAsia="新細明體" w:hAnsi="Verdana" w:cs="新細明體"/>
          <w:color w:val="333333"/>
          <w:spacing w:val="24"/>
          <w:kern w:val="0"/>
          <w:sz w:val="20"/>
          <w:szCs w:val="20"/>
        </w:rPr>
        <w:t>多數人提到莊子都會</w:t>
      </w:r>
      <w:proofErr w:type="gramStart"/>
      <w:r w:rsidRPr="006068CF">
        <w:rPr>
          <w:rFonts w:ascii="Verdana" w:eastAsia="新細明體" w:hAnsi="Verdana" w:cs="新細明體"/>
          <w:color w:val="333333"/>
          <w:spacing w:val="24"/>
          <w:kern w:val="0"/>
          <w:sz w:val="20"/>
          <w:szCs w:val="20"/>
        </w:rPr>
        <w:t>想到內篇</w:t>
      </w:r>
      <w:proofErr w:type="gramEnd"/>
      <w:r w:rsidRPr="006068CF">
        <w:rPr>
          <w:rFonts w:ascii="Verdana" w:eastAsia="新細明體" w:hAnsi="Verdana" w:cs="新細明體"/>
          <w:color w:val="333333"/>
          <w:spacing w:val="24"/>
          <w:kern w:val="0"/>
          <w:sz w:val="20"/>
          <w:szCs w:val="20"/>
        </w:rPr>
        <w:t>，以為</w:t>
      </w:r>
      <w:proofErr w:type="gramStart"/>
      <w:r w:rsidRPr="006068CF">
        <w:rPr>
          <w:rFonts w:ascii="Verdana" w:eastAsia="新細明體" w:hAnsi="Verdana" w:cs="新細明體"/>
          <w:color w:val="333333"/>
          <w:spacing w:val="24"/>
          <w:kern w:val="0"/>
          <w:sz w:val="20"/>
          <w:szCs w:val="20"/>
        </w:rPr>
        <w:t>外篇和雜篇</w:t>
      </w:r>
      <w:proofErr w:type="gramEnd"/>
      <w:r w:rsidRPr="006068CF">
        <w:rPr>
          <w:rFonts w:ascii="Verdana" w:eastAsia="新細明體" w:hAnsi="Verdana" w:cs="新細明體"/>
          <w:color w:val="333333"/>
          <w:spacing w:val="24"/>
          <w:kern w:val="0"/>
          <w:sz w:val="20"/>
          <w:szCs w:val="20"/>
        </w:rPr>
        <w:t>較不可信，然而其中實乃蘊藏莊子</w:t>
      </w:r>
      <w:r>
        <w:rPr>
          <w:rFonts w:ascii="Verdana" w:eastAsia="新細明體" w:hAnsi="Verdana" w:cs="新細明體" w:hint="eastAsia"/>
          <w:color w:val="333333"/>
          <w:spacing w:val="24"/>
          <w:kern w:val="0"/>
          <w:sz w:val="20"/>
          <w:szCs w:val="20"/>
        </w:rPr>
        <w:t>「</w:t>
      </w:r>
      <w:r w:rsidRPr="006068CF">
        <w:rPr>
          <w:rFonts w:ascii="Verdana" w:eastAsia="新細明體" w:hAnsi="Verdana" w:cs="新細明體"/>
          <w:color w:val="333333"/>
          <w:spacing w:val="24"/>
          <w:kern w:val="0"/>
          <w:sz w:val="20"/>
          <w:szCs w:val="20"/>
        </w:rPr>
        <w:t>寓言</w:t>
      </w:r>
      <w:r>
        <w:rPr>
          <w:rFonts w:ascii="Verdana" w:eastAsia="新細明體" w:hAnsi="Verdana" w:cs="新細明體" w:hint="eastAsia"/>
          <w:color w:val="333333"/>
          <w:spacing w:val="24"/>
          <w:kern w:val="0"/>
          <w:sz w:val="20"/>
          <w:szCs w:val="20"/>
        </w:rPr>
        <w:t>」</w:t>
      </w:r>
      <w:r w:rsidRPr="006068CF">
        <w:rPr>
          <w:rFonts w:ascii="Verdana" w:eastAsia="新細明體" w:hAnsi="Verdana" w:cs="新細明體"/>
          <w:color w:val="333333"/>
          <w:spacing w:val="24"/>
          <w:kern w:val="0"/>
          <w:sz w:val="20"/>
          <w:szCs w:val="20"/>
        </w:rPr>
        <w:t>之精華。本課程將分成上</w:t>
      </w:r>
      <w:r>
        <w:rPr>
          <w:rFonts w:ascii="Verdana" w:eastAsia="新細明體" w:hAnsi="Verdana" w:cs="新細明體" w:hint="eastAsia"/>
          <w:color w:val="333333"/>
          <w:spacing w:val="24"/>
          <w:kern w:val="0"/>
          <w:sz w:val="20"/>
          <w:szCs w:val="20"/>
        </w:rPr>
        <w:t>、</w:t>
      </w:r>
      <w:r w:rsidRPr="006068CF">
        <w:rPr>
          <w:rFonts w:ascii="Verdana" w:eastAsia="新細明體" w:hAnsi="Verdana" w:cs="新細明體"/>
          <w:color w:val="333333"/>
          <w:spacing w:val="24"/>
          <w:kern w:val="0"/>
          <w:sz w:val="20"/>
          <w:szCs w:val="20"/>
        </w:rPr>
        <w:t>下學期講授，</w:t>
      </w:r>
      <w:proofErr w:type="gramStart"/>
      <w:r w:rsidRPr="006068CF">
        <w:rPr>
          <w:rFonts w:ascii="Verdana" w:eastAsia="新細明體" w:hAnsi="Verdana" w:cs="新細明體"/>
          <w:color w:val="333333"/>
          <w:spacing w:val="24"/>
          <w:kern w:val="0"/>
          <w:sz w:val="20"/>
          <w:szCs w:val="20"/>
        </w:rPr>
        <w:t>除了內篇的</w:t>
      </w:r>
      <w:proofErr w:type="gramEnd"/>
      <w:r w:rsidRPr="006068CF">
        <w:rPr>
          <w:rFonts w:ascii="Verdana" w:eastAsia="新細明體" w:hAnsi="Verdana" w:cs="新細明體"/>
          <w:color w:val="333333"/>
          <w:spacing w:val="24"/>
          <w:kern w:val="0"/>
          <w:sz w:val="20"/>
          <w:szCs w:val="20"/>
        </w:rPr>
        <w:t>逍遙遊</w:t>
      </w:r>
      <w:proofErr w:type="gramStart"/>
      <w:r w:rsidRPr="006068CF">
        <w:rPr>
          <w:rFonts w:ascii="Verdana" w:eastAsia="新細明體" w:hAnsi="Verdana" w:cs="新細明體"/>
          <w:color w:val="333333"/>
          <w:spacing w:val="24"/>
          <w:kern w:val="0"/>
          <w:sz w:val="20"/>
          <w:szCs w:val="20"/>
        </w:rPr>
        <w:t>及</w:t>
      </w:r>
      <w:r>
        <w:rPr>
          <w:rFonts w:ascii="Verdana" w:eastAsia="新細明體" w:hAnsi="Verdana" w:cs="新細明體" w:hint="eastAsia"/>
          <w:color w:val="333333"/>
          <w:spacing w:val="24"/>
          <w:kern w:val="0"/>
          <w:sz w:val="20"/>
          <w:szCs w:val="20"/>
        </w:rPr>
        <w:t>齊</w:t>
      </w:r>
      <w:r w:rsidRPr="006068CF">
        <w:rPr>
          <w:rFonts w:ascii="Verdana" w:eastAsia="新細明體" w:hAnsi="Verdana" w:cs="新細明體"/>
          <w:color w:val="333333"/>
          <w:spacing w:val="24"/>
          <w:kern w:val="0"/>
          <w:sz w:val="20"/>
          <w:szCs w:val="20"/>
        </w:rPr>
        <w:t>物論外</w:t>
      </w:r>
      <w:proofErr w:type="gramEnd"/>
      <w:r w:rsidRPr="006068CF">
        <w:rPr>
          <w:rFonts w:ascii="Verdana" w:eastAsia="新細明體" w:hAnsi="Verdana" w:cs="新細明體"/>
          <w:color w:val="333333"/>
          <w:spacing w:val="24"/>
          <w:kern w:val="0"/>
          <w:sz w:val="20"/>
          <w:szCs w:val="20"/>
        </w:rPr>
        <w:t>，將細究</w:t>
      </w:r>
      <w:proofErr w:type="gramStart"/>
      <w:r w:rsidRPr="006068CF">
        <w:rPr>
          <w:rFonts w:ascii="Verdana" w:eastAsia="新細明體" w:hAnsi="Verdana" w:cs="新細明體"/>
          <w:color w:val="333333"/>
          <w:spacing w:val="24"/>
          <w:kern w:val="0"/>
          <w:sz w:val="20"/>
          <w:szCs w:val="20"/>
        </w:rPr>
        <w:t>外篇與雜篇</w:t>
      </w:r>
      <w:proofErr w:type="gramEnd"/>
      <w:r w:rsidRPr="006068CF">
        <w:rPr>
          <w:rFonts w:ascii="Verdana" w:eastAsia="新細明體" w:hAnsi="Verdana" w:cs="新細明體"/>
          <w:color w:val="333333"/>
          <w:spacing w:val="24"/>
          <w:kern w:val="0"/>
          <w:sz w:val="20"/>
          <w:szCs w:val="20"/>
        </w:rPr>
        <w:t>之中與莊子思想相關的聲韻玄機，提供另一種</w:t>
      </w:r>
      <w:proofErr w:type="gramStart"/>
      <w:r w:rsidRPr="006068CF">
        <w:rPr>
          <w:rFonts w:ascii="Verdana" w:eastAsia="新細明體" w:hAnsi="Verdana" w:cs="新細明體"/>
          <w:color w:val="333333"/>
          <w:spacing w:val="24"/>
          <w:kern w:val="0"/>
          <w:sz w:val="20"/>
          <w:szCs w:val="20"/>
        </w:rPr>
        <w:t>研</w:t>
      </w:r>
      <w:proofErr w:type="gramEnd"/>
      <w:r w:rsidRPr="006068CF">
        <w:rPr>
          <w:rFonts w:ascii="Verdana" w:eastAsia="新細明體" w:hAnsi="Verdana" w:cs="新細明體"/>
          <w:color w:val="333333"/>
          <w:spacing w:val="24"/>
          <w:kern w:val="0"/>
          <w:sz w:val="20"/>
          <w:szCs w:val="20"/>
        </w:rPr>
        <w:t>讀莊子的觀點，以獲知更全面的莊子思想。</w:t>
      </w:r>
    </w:p>
    <w:p w:rsidR="007B4EAA" w:rsidRPr="006068CF" w:rsidRDefault="007B4EAA" w:rsidP="007B4EAA">
      <w:pPr>
        <w:widowControl/>
        <w:spacing w:after="240"/>
        <w:outlineLvl w:val="2"/>
        <w:rPr>
          <w:rFonts w:ascii="Verdana" w:eastAsia="新細明體" w:hAnsi="Verdana" w:cs="新細明體"/>
          <w:b/>
          <w:bCs/>
          <w:color w:val="385B88"/>
          <w:spacing w:val="30"/>
          <w:kern w:val="0"/>
          <w:sz w:val="27"/>
          <w:szCs w:val="27"/>
        </w:rPr>
      </w:pPr>
      <w:r w:rsidRPr="006068CF">
        <w:rPr>
          <w:rFonts w:ascii="Verdana" w:eastAsia="新細明體" w:hAnsi="Verdana" w:cs="新細明體"/>
          <w:b/>
          <w:bCs/>
          <w:color w:val="385B88"/>
          <w:spacing w:val="30"/>
          <w:kern w:val="0"/>
          <w:sz w:val="27"/>
          <w:szCs w:val="27"/>
        </w:rPr>
        <w:t>課程目標</w:t>
      </w:r>
    </w:p>
    <w:p w:rsidR="007B4EAA" w:rsidRDefault="007B4EAA" w:rsidP="007B4EAA">
      <w:pPr>
        <w:widowControl/>
        <w:spacing w:after="240"/>
        <w:outlineLvl w:val="2"/>
        <w:rPr>
          <w:rFonts w:ascii="Verdana" w:eastAsia="新細明體" w:hAnsi="Verdana" w:cs="新細明體" w:hint="eastAsia"/>
          <w:color w:val="333333"/>
          <w:spacing w:val="24"/>
          <w:kern w:val="0"/>
          <w:sz w:val="20"/>
          <w:szCs w:val="20"/>
        </w:rPr>
      </w:pPr>
      <w:r w:rsidRPr="006068CF">
        <w:rPr>
          <w:rFonts w:ascii="Verdana" w:eastAsia="新細明體" w:hAnsi="Verdana" w:cs="新細明體" w:hint="eastAsia"/>
          <w:color w:val="333333"/>
          <w:spacing w:val="24"/>
          <w:kern w:val="0"/>
          <w:sz w:val="20"/>
          <w:szCs w:val="20"/>
        </w:rPr>
        <w:t>本課程之主要目標為，讓學生補足對莊子</w:t>
      </w:r>
      <w:proofErr w:type="gramStart"/>
      <w:r w:rsidRPr="006068CF">
        <w:rPr>
          <w:rFonts w:ascii="Verdana" w:eastAsia="新細明體" w:hAnsi="Verdana" w:cs="新細明體" w:hint="eastAsia"/>
          <w:color w:val="333333"/>
          <w:spacing w:val="24"/>
          <w:kern w:val="0"/>
          <w:sz w:val="20"/>
          <w:szCs w:val="20"/>
        </w:rPr>
        <w:t>外篇和雜篇</w:t>
      </w:r>
      <w:proofErr w:type="gramEnd"/>
      <w:r w:rsidRPr="006068CF">
        <w:rPr>
          <w:rFonts w:ascii="Verdana" w:eastAsia="新細明體" w:hAnsi="Verdana" w:cs="新細明體" w:hint="eastAsia"/>
          <w:color w:val="333333"/>
          <w:spacing w:val="24"/>
          <w:kern w:val="0"/>
          <w:sz w:val="20"/>
          <w:szCs w:val="20"/>
        </w:rPr>
        <w:t>的不足、瞭解莊子中聲韻與其行文內容之間的關係，並進而使學生從中體會莊子自然哲學。</w:t>
      </w:r>
    </w:p>
    <w:p w:rsidR="007B4EAA" w:rsidRPr="006068CF" w:rsidRDefault="007B4EAA" w:rsidP="007B4EAA">
      <w:pPr>
        <w:widowControl/>
        <w:spacing w:after="240"/>
        <w:outlineLvl w:val="2"/>
        <w:rPr>
          <w:rFonts w:ascii="Verdana" w:eastAsia="新細明體" w:hAnsi="Verdana" w:cs="新細明體"/>
          <w:b/>
          <w:bCs/>
          <w:color w:val="385B88"/>
          <w:spacing w:val="30"/>
          <w:kern w:val="0"/>
          <w:sz w:val="27"/>
          <w:szCs w:val="27"/>
        </w:rPr>
      </w:pPr>
      <w:r w:rsidRPr="006068CF">
        <w:rPr>
          <w:rFonts w:ascii="Verdana" w:eastAsia="新細明體" w:hAnsi="Verdana" w:cs="新細明體"/>
          <w:b/>
          <w:bCs/>
          <w:color w:val="385B88"/>
          <w:spacing w:val="30"/>
          <w:kern w:val="0"/>
          <w:sz w:val="27"/>
          <w:szCs w:val="27"/>
        </w:rPr>
        <w:t>課程要求</w:t>
      </w:r>
    </w:p>
    <w:p w:rsidR="007B4EAA" w:rsidRPr="006068CF" w:rsidRDefault="007B4EAA" w:rsidP="007B4EAA">
      <w:pPr>
        <w:widowControl/>
        <w:spacing w:after="480" w:line="432" w:lineRule="atLeast"/>
        <w:jc w:val="both"/>
        <w:rPr>
          <w:rFonts w:ascii="Verdana" w:eastAsia="新細明體" w:hAnsi="Verdana" w:cs="新細明體"/>
          <w:color w:val="333333"/>
          <w:spacing w:val="24"/>
          <w:kern w:val="0"/>
          <w:sz w:val="20"/>
          <w:szCs w:val="20"/>
        </w:rPr>
      </w:pPr>
      <w:r w:rsidRPr="006068CF">
        <w:rPr>
          <w:rFonts w:ascii="Verdana" w:eastAsia="新細明體" w:hAnsi="Verdana" w:cs="新細明體"/>
          <w:color w:val="333333"/>
          <w:spacing w:val="24"/>
          <w:kern w:val="0"/>
          <w:sz w:val="20"/>
          <w:szCs w:val="20"/>
        </w:rPr>
        <w:t>本課程每週講課二小時，選課同學必須參加期末考試，並出席每堂課程。</w:t>
      </w:r>
    </w:p>
    <w:p w:rsidR="007B4EAA" w:rsidRPr="006068CF" w:rsidRDefault="007B4EAA" w:rsidP="007B4EAA">
      <w:pPr>
        <w:widowControl/>
        <w:spacing w:after="240"/>
        <w:outlineLvl w:val="2"/>
        <w:rPr>
          <w:rFonts w:ascii="Verdana" w:eastAsia="新細明體" w:hAnsi="Verdana" w:cs="新細明體"/>
          <w:b/>
          <w:bCs/>
          <w:color w:val="385B88"/>
          <w:spacing w:val="30"/>
          <w:kern w:val="0"/>
          <w:sz w:val="27"/>
          <w:szCs w:val="27"/>
        </w:rPr>
      </w:pPr>
      <w:r w:rsidRPr="006068CF">
        <w:rPr>
          <w:rFonts w:ascii="Verdana" w:eastAsia="新細明體" w:hAnsi="Verdana" w:cs="新細明體"/>
          <w:b/>
          <w:bCs/>
          <w:color w:val="385B88"/>
          <w:spacing w:val="30"/>
          <w:kern w:val="0"/>
          <w:sz w:val="27"/>
          <w:szCs w:val="27"/>
        </w:rPr>
        <w:t>成績評量方式</w:t>
      </w:r>
    </w:p>
    <w:p w:rsidR="007B4EAA" w:rsidRPr="006068CF" w:rsidRDefault="007B4EAA" w:rsidP="007B4EAA">
      <w:pPr>
        <w:widowControl/>
        <w:spacing w:after="480" w:line="432" w:lineRule="atLeast"/>
        <w:jc w:val="both"/>
        <w:rPr>
          <w:rFonts w:ascii="Verdana" w:eastAsia="新細明體" w:hAnsi="Verdana" w:cs="新細明體"/>
          <w:color w:val="333333"/>
          <w:spacing w:val="24"/>
          <w:kern w:val="0"/>
          <w:sz w:val="20"/>
          <w:szCs w:val="20"/>
        </w:rPr>
      </w:pPr>
      <w:r w:rsidRPr="006068CF">
        <w:rPr>
          <w:rFonts w:ascii="Verdana" w:eastAsia="新細明體" w:hAnsi="Verdana" w:cs="新細明體" w:hint="eastAsia"/>
          <w:color w:val="333333"/>
          <w:spacing w:val="24"/>
          <w:kern w:val="0"/>
          <w:sz w:val="20"/>
          <w:szCs w:val="20"/>
        </w:rPr>
        <w:t>評量成績以筆試（申論題）為標準。</w:t>
      </w:r>
    </w:p>
    <w:p w:rsidR="007B4EAA" w:rsidRPr="006068CF" w:rsidRDefault="007B4EAA" w:rsidP="007B4EAA"/>
    <w:p w:rsidR="00F952CB" w:rsidRPr="007B4EAA" w:rsidRDefault="00F952CB" w:rsidP="007B4EAA">
      <w:bookmarkStart w:id="0" w:name="_GoBack"/>
      <w:bookmarkEnd w:id="0"/>
    </w:p>
    <w:sectPr w:rsidR="00F952CB" w:rsidRPr="007B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8D"/>
    <w:rsid w:val="002E60E0"/>
    <w:rsid w:val="0048678D"/>
    <w:rsid w:val="00540682"/>
    <w:rsid w:val="007B4EAA"/>
    <w:rsid w:val="00CB199F"/>
    <w:rsid w:val="00F9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AA"/>
    <w:pPr>
      <w:widowControl w:val="0"/>
    </w:pPr>
  </w:style>
  <w:style w:type="paragraph" w:styleId="3">
    <w:name w:val="heading 3"/>
    <w:basedOn w:val="a"/>
    <w:link w:val="30"/>
    <w:uiPriority w:val="9"/>
    <w:qFormat/>
    <w:rsid w:val="0048678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48678D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4867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867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AA"/>
    <w:pPr>
      <w:widowControl w:val="0"/>
    </w:pPr>
  </w:style>
  <w:style w:type="paragraph" w:styleId="3">
    <w:name w:val="heading 3"/>
    <w:basedOn w:val="a"/>
    <w:link w:val="30"/>
    <w:uiPriority w:val="9"/>
    <w:qFormat/>
    <w:rsid w:val="0048678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48678D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4867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86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2012-09-03T02:16:00Z</dcterms:created>
  <dcterms:modified xsi:type="dcterms:W3CDTF">2012-09-03T03:30:00Z</dcterms:modified>
</cp:coreProperties>
</file>