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590B3" w14:textId="77777777" w:rsidR="001344E5" w:rsidRPr="00120FCD" w:rsidRDefault="001344E5" w:rsidP="001344E5">
      <w:pPr>
        <w:widowControl/>
        <w:jc w:val="center"/>
        <w:rPr>
          <w:rFonts w:ascii="Times New Roman" w:eastAsia="標楷體" w:hAnsi="Times New Roman"/>
          <w:b/>
          <w:sz w:val="36"/>
          <w:szCs w:val="28"/>
        </w:rPr>
      </w:pPr>
    </w:p>
    <w:p w14:paraId="2F5CFB25" w14:textId="77777777" w:rsidR="001344E5" w:rsidRDefault="001344E5" w:rsidP="001344E5">
      <w:pPr>
        <w:widowControl/>
        <w:jc w:val="center"/>
        <w:rPr>
          <w:rFonts w:ascii="Times New Roman" w:eastAsia="標楷體" w:hAnsi="Times New Roman"/>
          <w:b/>
          <w:sz w:val="36"/>
          <w:szCs w:val="28"/>
        </w:rPr>
      </w:pPr>
    </w:p>
    <w:p w14:paraId="1D1B854C" w14:textId="77777777" w:rsidR="001344E5" w:rsidRDefault="001344E5" w:rsidP="001344E5">
      <w:pPr>
        <w:widowControl/>
        <w:jc w:val="center"/>
        <w:rPr>
          <w:rFonts w:ascii="Times New Roman" w:eastAsia="標楷體" w:hAnsi="Times New Roman"/>
          <w:b/>
          <w:sz w:val="36"/>
          <w:szCs w:val="28"/>
        </w:rPr>
      </w:pPr>
    </w:p>
    <w:p w14:paraId="43D579B1" w14:textId="77777777" w:rsidR="001344E5" w:rsidRPr="00120FCD" w:rsidRDefault="001344E5" w:rsidP="001344E5">
      <w:pPr>
        <w:widowControl/>
        <w:jc w:val="center"/>
        <w:rPr>
          <w:rFonts w:ascii="Times New Roman" w:eastAsia="標楷體" w:hAnsi="Times New Roman"/>
          <w:b/>
          <w:sz w:val="36"/>
          <w:szCs w:val="28"/>
        </w:rPr>
      </w:pPr>
    </w:p>
    <w:p w14:paraId="6FAA6745" w14:textId="77777777" w:rsidR="001344E5" w:rsidRPr="00120FCD" w:rsidRDefault="001344E5" w:rsidP="001344E5">
      <w:pPr>
        <w:widowControl/>
        <w:jc w:val="center"/>
        <w:rPr>
          <w:rFonts w:ascii="Times New Roman" w:eastAsia="標楷體" w:hAnsi="Times New Roman"/>
          <w:b/>
          <w:sz w:val="36"/>
          <w:szCs w:val="28"/>
        </w:rPr>
      </w:pPr>
    </w:p>
    <w:p w14:paraId="7748B873" w14:textId="77777777" w:rsidR="001344E5" w:rsidRPr="00120FCD" w:rsidRDefault="001344E5" w:rsidP="001344E5">
      <w:pPr>
        <w:widowControl/>
        <w:jc w:val="center"/>
        <w:rPr>
          <w:rFonts w:ascii="Times New Roman" w:eastAsia="標楷體" w:hAnsi="Times New Roman"/>
          <w:b/>
          <w:sz w:val="36"/>
          <w:szCs w:val="28"/>
        </w:rPr>
      </w:pPr>
    </w:p>
    <w:p w14:paraId="3BD913AE" w14:textId="77777777" w:rsidR="001344E5" w:rsidRPr="00120FCD" w:rsidRDefault="001344E5" w:rsidP="001344E5">
      <w:pPr>
        <w:widowControl/>
        <w:jc w:val="center"/>
        <w:rPr>
          <w:rFonts w:ascii="Times New Roman" w:eastAsia="標楷體" w:hAnsi="Times New Roman"/>
          <w:b/>
          <w:sz w:val="36"/>
          <w:szCs w:val="28"/>
        </w:rPr>
      </w:pPr>
    </w:p>
    <w:p w14:paraId="11D4D673" w14:textId="77777777" w:rsidR="001344E5" w:rsidRPr="00120FCD" w:rsidRDefault="001344E5" w:rsidP="001344E5">
      <w:pPr>
        <w:widowControl/>
        <w:jc w:val="center"/>
        <w:rPr>
          <w:rFonts w:ascii="Times New Roman" w:eastAsia="標楷體" w:hAnsi="Times New Roman"/>
          <w:b/>
          <w:sz w:val="56"/>
          <w:szCs w:val="28"/>
        </w:rPr>
      </w:pPr>
      <w:r>
        <w:rPr>
          <w:rFonts w:ascii="Times New Roman" w:eastAsia="標楷體" w:hAnsi="Times New Roman"/>
          <w:b/>
          <w:sz w:val="56"/>
          <w:szCs w:val="28"/>
        </w:rPr>
        <w:t>中華民國憲法與政府</w:t>
      </w:r>
    </w:p>
    <w:p w14:paraId="396D750D" w14:textId="77777777" w:rsidR="00686BAE" w:rsidRDefault="001344E5" w:rsidP="001344E5">
      <w:pPr>
        <w:widowControl/>
        <w:jc w:val="center"/>
        <w:rPr>
          <w:rFonts w:ascii="Times New Roman" w:eastAsia="標楷體" w:hAnsi="Times New Roman" w:hint="eastAsia"/>
          <w:b/>
          <w:sz w:val="48"/>
          <w:szCs w:val="36"/>
        </w:rPr>
      </w:pPr>
      <w:r w:rsidRPr="00120FCD">
        <w:rPr>
          <w:rFonts w:ascii="Times New Roman" w:eastAsia="標楷體" w:hAnsi="Times New Roman"/>
          <w:b/>
          <w:sz w:val="48"/>
          <w:szCs w:val="36"/>
        </w:rPr>
        <w:t>第</w:t>
      </w:r>
      <w:r w:rsidR="002F0F53">
        <w:rPr>
          <w:rFonts w:ascii="Times New Roman" w:eastAsia="標楷體" w:hAnsi="Times New Roman" w:hint="eastAsia"/>
          <w:b/>
          <w:sz w:val="48"/>
          <w:szCs w:val="36"/>
        </w:rPr>
        <w:t>26</w:t>
      </w:r>
      <w:r w:rsidRPr="00120FCD">
        <w:rPr>
          <w:rFonts w:ascii="Times New Roman" w:eastAsia="標楷體" w:hAnsi="Times New Roman"/>
          <w:b/>
          <w:sz w:val="48"/>
          <w:szCs w:val="36"/>
        </w:rPr>
        <w:t>單元</w:t>
      </w:r>
      <w:r w:rsidRPr="00120FCD">
        <w:rPr>
          <w:rFonts w:ascii="Times New Roman" w:eastAsia="標楷體" w:hAnsi="Times New Roman" w:hint="eastAsia"/>
          <w:b/>
          <w:sz w:val="48"/>
          <w:szCs w:val="36"/>
        </w:rPr>
        <w:t xml:space="preserve"> </w:t>
      </w:r>
    </w:p>
    <w:p w14:paraId="2D33C442" w14:textId="37303C2E" w:rsidR="001344E5" w:rsidRPr="00E46332" w:rsidRDefault="001344E5" w:rsidP="001344E5">
      <w:pPr>
        <w:widowControl/>
        <w:jc w:val="center"/>
        <w:rPr>
          <w:rFonts w:ascii="Times New Roman" w:eastAsia="標楷體" w:hAnsi="Times New Roman"/>
          <w:b/>
          <w:sz w:val="48"/>
          <w:szCs w:val="36"/>
        </w:rPr>
      </w:pPr>
      <w:r>
        <w:rPr>
          <w:rFonts w:ascii="Times New Roman" w:eastAsia="標楷體" w:hAnsi="Times New Roman" w:hint="eastAsia"/>
          <w:b/>
          <w:sz w:val="48"/>
          <w:szCs w:val="36"/>
        </w:rPr>
        <w:t>學術自由</w:t>
      </w:r>
    </w:p>
    <w:p w14:paraId="35FCE095" w14:textId="77777777" w:rsidR="001344E5" w:rsidRPr="00E46332" w:rsidRDefault="001344E5" w:rsidP="001344E5">
      <w:pPr>
        <w:widowControl/>
        <w:jc w:val="center"/>
        <w:rPr>
          <w:rFonts w:ascii="Times New Roman" w:eastAsia="標楷體" w:hAnsi="Times New Roman"/>
          <w:b/>
          <w:sz w:val="48"/>
          <w:szCs w:val="36"/>
        </w:rPr>
      </w:pPr>
    </w:p>
    <w:p w14:paraId="41408E58" w14:textId="77777777" w:rsidR="001344E5" w:rsidRPr="00120FCD" w:rsidRDefault="001344E5" w:rsidP="001344E5">
      <w:pPr>
        <w:widowControl/>
        <w:jc w:val="center"/>
        <w:rPr>
          <w:rFonts w:ascii="Times New Roman" w:eastAsia="標楷體" w:hAnsi="Times New Roman"/>
          <w:b/>
          <w:sz w:val="32"/>
          <w:szCs w:val="36"/>
        </w:rPr>
      </w:pPr>
    </w:p>
    <w:p w14:paraId="64A1941E" w14:textId="77777777" w:rsidR="001344E5" w:rsidRPr="00120FCD" w:rsidRDefault="001344E5" w:rsidP="001344E5">
      <w:pPr>
        <w:widowControl/>
        <w:jc w:val="center"/>
        <w:rPr>
          <w:rFonts w:ascii="Times New Roman" w:eastAsia="標楷體" w:hAnsi="Times New Roman"/>
          <w:b/>
          <w:sz w:val="32"/>
          <w:szCs w:val="36"/>
        </w:rPr>
      </w:pPr>
      <w:r w:rsidRPr="00120FCD">
        <w:rPr>
          <w:rFonts w:ascii="Times New Roman" w:eastAsia="標楷體" w:hAnsi="Times New Roman"/>
          <w:b/>
          <w:sz w:val="32"/>
          <w:szCs w:val="36"/>
        </w:rPr>
        <w:t>授課教師：陳淳文</w:t>
      </w:r>
      <w:r w:rsidRPr="00120FCD">
        <w:rPr>
          <w:rFonts w:ascii="Times New Roman" w:eastAsia="標楷體" w:hAnsi="Times New Roman"/>
          <w:b/>
          <w:sz w:val="32"/>
          <w:szCs w:val="36"/>
        </w:rPr>
        <w:t xml:space="preserve"> </w:t>
      </w:r>
      <w:r w:rsidRPr="00120FCD">
        <w:rPr>
          <w:rFonts w:ascii="Times New Roman" w:eastAsia="標楷體" w:hAnsi="Times New Roman"/>
          <w:b/>
          <w:sz w:val="32"/>
          <w:szCs w:val="36"/>
        </w:rPr>
        <w:t>教授</w:t>
      </w:r>
    </w:p>
    <w:p w14:paraId="25BC2E0C" w14:textId="77777777" w:rsidR="001344E5" w:rsidRPr="00120FCD" w:rsidRDefault="001344E5" w:rsidP="001344E5">
      <w:pPr>
        <w:widowControl/>
        <w:rPr>
          <w:rFonts w:ascii="Times New Roman" w:hAnsi="Times New Roman"/>
          <w:b/>
          <w:szCs w:val="28"/>
        </w:rPr>
      </w:pPr>
    </w:p>
    <w:p w14:paraId="3F3F5275" w14:textId="77777777" w:rsidR="001344E5" w:rsidRPr="00120FCD" w:rsidRDefault="001344E5" w:rsidP="001344E5">
      <w:pPr>
        <w:widowControl/>
        <w:rPr>
          <w:rFonts w:ascii="Times New Roman" w:hAnsi="Times New Roman"/>
          <w:b/>
          <w:szCs w:val="28"/>
        </w:rPr>
      </w:pPr>
    </w:p>
    <w:p w14:paraId="7B4B3302" w14:textId="77777777" w:rsidR="001344E5" w:rsidRPr="00120FCD" w:rsidRDefault="001344E5" w:rsidP="001344E5">
      <w:pPr>
        <w:widowControl/>
        <w:rPr>
          <w:rFonts w:ascii="Times New Roman" w:hAnsi="Times New Roman"/>
          <w:b/>
          <w:szCs w:val="28"/>
        </w:rPr>
      </w:pPr>
    </w:p>
    <w:p w14:paraId="0EF0D222" w14:textId="77777777" w:rsidR="001344E5" w:rsidRPr="00120FCD" w:rsidRDefault="001344E5" w:rsidP="001344E5">
      <w:pPr>
        <w:widowControl/>
        <w:rPr>
          <w:rFonts w:ascii="Times New Roman" w:hAnsi="Times New Roman"/>
          <w:b/>
          <w:szCs w:val="28"/>
        </w:rPr>
      </w:pPr>
      <w:r w:rsidRPr="00120FCD">
        <w:rPr>
          <w:rFonts w:ascii="Times New Roman" w:hAnsi="Times New Roman"/>
          <w:b/>
          <w:szCs w:val="28"/>
        </w:rPr>
        <w:t xml:space="preserve">                                              </w:t>
      </w:r>
    </w:p>
    <w:p w14:paraId="47BA2650" w14:textId="77777777" w:rsidR="001344E5" w:rsidRPr="00120FCD" w:rsidRDefault="001344E5" w:rsidP="001344E5">
      <w:pPr>
        <w:widowControl/>
        <w:rPr>
          <w:rFonts w:ascii="Times New Roman" w:hAnsi="Times New Roman"/>
          <w:b/>
          <w:szCs w:val="28"/>
        </w:rPr>
      </w:pPr>
    </w:p>
    <w:p w14:paraId="4B5C9B3C" w14:textId="77777777" w:rsidR="001344E5" w:rsidRPr="00120FCD" w:rsidRDefault="001344E5" w:rsidP="001344E5">
      <w:pPr>
        <w:widowControl/>
        <w:rPr>
          <w:rFonts w:ascii="Times New Roman" w:hAnsi="Times New Roman"/>
          <w:b/>
          <w:szCs w:val="28"/>
        </w:rPr>
      </w:pPr>
    </w:p>
    <w:p w14:paraId="3ABC3446" w14:textId="77777777" w:rsidR="001344E5" w:rsidRPr="00ED70D7" w:rsidRDefault="001344E5" w:rsidP="001344E5">
      <w:pPr>
        <w:jc w:val="center"/>
        <w:rPr>
          <w:rFonts w:ascii="Times New Roman" w:eastAsia="標楷體" w:hAnsi="Times New Roman" w:cs="Times New Roman"/>
          <w:b/>
          <w:bCs/>
        </w:rPr>
      </w:pPr>
      <w:r>
        <w:rPr>
          <w:rFonts w:ascii="Times New Roman" w:hAnsi="Times New Roman"/>
          <w:b/>
          <w:noProof/>
          <w:szCs w:val="28"/>
        </w:rPr>
        <w:drawing>
          <wp:inline distT="0" distB="0" distL="0" distR="0" wp14:anchorId="3796E689" wp14:editId="3316D8FB">
            <wp:extent cx="720725" cy="252095"/>
            <wp:effectExtent l="0" t="0" r="3175" b="0"/>
            <wp:docPr id="3" name="圖片 3" descr="描述: 描述: \\140.112.59.229\資源平台\資源平台\版權\版權ICON與範例\Creative Commens台灣2.5\icon_by-nc-sa.tif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140.112.59.229\資源平台\資源平台\版權\版權ICON與範例\Creative Commens台灣2.5\icon_by-nc-sa.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 cy="252095"/>
                    </a:xfrm>
                    <a:prstGeom prst="rect">
                      <a:avLst/>
                    </a:prstGeom>
                    <a:noFill/>
                    <a:ln>
                      <a:noFill/>
                    </a:ln>
                  </pic:spPr>
                </pic:pic>
              </a:graphicData>
            </a:graphic>
          </wp:inline>
        </w:drawing>
      </w:r>
      <w:proofErr w:type="gramStart"/>
      <w:r w:rsidRPr="00ED70D7">
        <w:rPr>
          <w:rFonts w:ascii="Times New Roman" w:eastAsia="標楷體" w:hAnsi="Times New Roman" w:cs="Times New Roman"/>
          <w:b/>
          <w:bCs/>
        </w:rPr>
        <w:t>【</w:t>
      </w:r>
      <w:proofErr w:type="gramEnd"/>
      <w:r w:rsidRPr="00ED70D7">
        <w:rPr>
          <w:rFonts w:ascii="Times New Roman" w:eastAsia="標楷體" w:hAnsi="Times New Roman" w:cs="Times New Roman"/>
          <w:b/>
          <w:bCs/>
        </w:rPr>
        <w:t>本著作除另有註明外，採取</w:t>
      </w:r>
    </w:p>
    <w:p w14:paraId="612E3559" w14:textId="3B06CE56" w:rsidR="001344E5" w:rsidRPr="00ED70D7" w:rsidRDefault="0067682C" w:rsidP="001344E5">
      <w:pPr>
        <w:jc w:val="center"/>
        <w:rPr>
          <w:rFonts w:ascii="Times New Roman" w:eastAsia="標楷體" w:hAnsi="Times New Roman" w:cs="Times New Roman"/>
          <w:b/>
        </w:rPr>
      </w:pPr>
      <w:hyperlink r:id="rId10" w:history="1">
        <w:r w:rsidR="001344E5" w:rsidRPr="00ED70D7">
          <w:rPr>
            <w:rFonts w:ascii="Times New Roman" w:eastAsia="標楷體" w:hAnsi="Times New Roman" w:cs="Times New Roman"/>
            <w:b/>
            <w:bCs/>
            <w:color w:val="0000FF"/>
            <w:u w:val="single"/>
          </w:rPr>
          <w:t>創用</w:t>
        </w:r>
      </w:hyperlink>
      <w:hyperlink r:id="rId11" w:history="1">
        <w:r w:rsidR="001344E5" w:rsidRPr="00ED70D7">
          <w:rPr>
            <w:rFonts w:ascii="Times New Roman" w:eastAsia="標楷體" w:hAnsi="Times New Roman" w:cs="Times New Roman"/>
            <w:b/>
            <w:bCs/>
            <w:color w:val="0000FF"/>
            <w:u w:val="single"/>
          </w:rPr>
          <w:t>CC</w:t>
        </w:r>
      </w:hyperlink>
      <w:hyperlink r:id="rId12" w:history="1">
        <w:r w:rsidR="001344E5" w:rsidRPr="00ED70D7">
          <w:rPr>
            <w:rFonts w:ascii="Times New Roman" w:eastAsia="標楷體" w:hAnsi="Times New Roman" w:cs="Times New Roman"/>
            <w:b/>
            <w:bCs/>
            <w:color w:val="0000FF"/>
            <w:u w:val="single"/>
          </w:rPr>
          <w:t>「姓名</w:t>
        </w:r>
        <w:proofErr w:type="gramStart"/>
        <w:r w:rsidR="001344E5" w:rsidRPr="00ED70D7">
          <w:rPr>
            <w:rFonts w:ascii="Times New Roman" w:eastAsia="標楷體" w:hAnsi="Times New Roman" w:cs="Times New Roman"/>
            <w:b/>
            <w:bCs/>
            <w:color w:val="0000FF"/>
            <w:u w:val="single"/>
          </w:rPr>
          <w:t>標示－非商業性</w:t>
        </w:r>
        <w:proofErr w:type="gramEnd"/>
        <w:r w:rsidR="001344E5" w:rsidRPr="00ED70D7">
          <w:rPr>
            <w:rFonts w:ascii="Times New Roman" w:eastAsia="標楷體" w:hAnsi="Times New Roman" w:cs="Times New Roman"/>
            <w:b/>
            <w:bCs/>
            <w:color w:val="0000FF"/>
            <w:u w:val="single"/>
          </w:rPr>
          <w:t>－相同方式分享</w:t>
        </w:r>
        <w:r w:rsidR="002F0F53" w:rsidRPr="00ED70D7">
          <w:rPr>
            <w:rFonts w:ascii="Times New Roman" w:eastAsia="標楷體" w:hAnsi="Times New Roman" w:cs="Times New Roman"/>
            <w:b/>
            <w:bCs/>
            <w:color w:val="0000FF"/>
            <w:u w:val="single"/>
          </w:rPr>
          <w:t>」臺</w:t>
        </w:r>
        <w:r w:rsidR="001344E5" w:rsidRPr="00ED70D7">
          <w:rPr>
            <w:rFonts w:ascii="Times New Roman" w:eastAsia="標楷體" w:hAnsi="Times New Roman" w:cs="Times New Roman"/>
            <w:b/>
            <w:bCs/>
            <w:color w:val="0000FF"/>
            <w:u w:val="single"/>
          </w:rPr>
          <w:t>灣</w:t>
        </w:r>
      </w:hyperlink>
      <w:hyperlink r:id="rId13" w:history="1">
        <w:r w:rsidR="001344E5" w:rsidRPr="00ED70D7">
          <w:rPr>
            <w:rFonts w:ascii="Times New Roman" w:eastAsia="標楷體" w:hAnsi="Times New Roman" w:cs="Times New Roman"/>
            <w:b/>
            <w:bCs/>
            <w:color w:val="0000FF"/>
            <w:u w:val="single"/>
          </w:rPr>
          <w:t>3.0</w:t>
        </w:r>
      </w:hyperlink>
      <w:hyperlink r:id="rId14" w:history="1">
        <w:r w:rsidR="001344E5" w:rsidRPr="00ED70D7">
          <w:rPr>
            <w:rFonts w:ascii="Times New Roman" w:eastAsia="標楷體" w:hAnsi="Times New Roman" w:cs="Times New Roman"/>
            <w:b/>
            <w:bCs/>
            <w:color w:val="0000FF"/>
            <w:u w:val="single"/>
          </w:rPr>
          <w:t>版</w:t>
        </w:r>
      </w:hyperlink>
      <w:r w:rsidR="001344E5" w:rsidRPr="00ED70D7">
        <w:rPr>
          <w:rFonts w:ascii="Times New Roman" w:eastAsia="標楷體" w:hAnsi="Times New Roman" w:cs="Times New Roman"/>
          <w:b/>
          <w:bCs/>
        </w:rPr>
        <w:t>授權釋出</w:t>
      </w:r>
      <w:proofErr w:type="gramStart"/>
      <w:r w:rsidR="001344E5" w:rsidRPr="00ED70D7">
        <w:rPr>
          <w:rFonts w:ascii="Times New Roman" w:eastAsia="標楷體" w:hAnsi="Times New Roman" w:cs="Times New Roman"/>
          <w:b/>
          <w:bCs/>
        </w:rPr>
        <w:t>】</w:t>
      </w:r>
      <w:proofErr w:type="gramEnd"/>
    </w:p>
    <w:p w14:paraId="44C181F4" w14:textId="77777777" w:rsidR="001344E5" w:rsidRPr="001344E5" w:rsidRDefault="001344E5" w:rsidP="002665B5">
      <w:pPr>
        <w:jc w:val="center"/>
        <w:rPr>
          <w:rFonts w:ascii="Times New Roman" w:hAnsi="Times New Roman" w:cs="Times New Roman"/>
          <w:b/>
          <w:sz w:val="36"/>
          <w:szCs w:val="36"/>
        </w:rPr>
      </w:pPr>
    </w:p>
    <w:p w14:paraId="4EA359B0" w14:textId="77777777" w:rsidR="00F71279" w:rsidRDefault="001344E5" w:rsidP="001344E5">
      <w:pPr>
        <w:widowControl/>
        <w:rPr>
          <w:rFonts w:ascii="Times New Roman" w:hAnsi="Times New Roman" w:cs="Times New Roman" w:hint="eastAsia"/>
          <w:b/>
          <w:sz w:val="36"/>
          <w:szCs w:val="36"/>
        </w:rPr>
      </w:pPr>
      <w:r>
        <w:rPr>
          <w:rFonts w:ascii="Times New Roman" w:hAnsi="Times New Roman" w:cs="Times New Roman"/>
          <w:b/>
          <w:sz w:val="36"/>
          <w:szCs w:val="36"/>
        </w:rPr>
        <w:br w:type="page"/>
      </w:r>
    </w:p>
    <w:p w14:paraId="6BB48BED" w14:textId="77777777" w:rsidR="00F71279" w:rsidRPr="00923C8E" w:rsidRDefault="00F71279" w:rsidP="00F71279">
      <w:pPr>
        <w:pStyle w:val="a3"/>
        <w:numPr>
          <w:ilvl w:val="0"/>
          <w:numId w:val="1"/>
        </w:numPr>
        <w:ind w:leftChars="0"/>
        <w:rPr>
          <w:rFonts w:ascii="Times New Roman" w:hAnsi="Times New Roman" w:cs="Times New Roman"/>
        </w:rPr>
      </w:pPr>
      <w:bookmarkStart w:id="0" w:name="_GoBack"/>
      <w:bookmarkEnd w:id="0"/>
      <w:r w:rsidRPr="00923C8E">
        <w:rPr>
          <w:rFonts w:ascii="Times New Roman" w:hAnsi="Times New Roman" w:cs="Times New Roman"/>
        </w:rPr>
        <w:lastRenderedPageBreak/>
        <w:t>概念內涵</w:t>
      </w:r>
    </w:p>
    <w:p w14:paraId="0868FEE2" w14:textId="77777777" w:rsidR="0035120A" w:rsidRDefault="0035120A" w:rsidP="0035120A">
      <w:pPr>
        <w:pStyle w:val="a3"/>
        <w:numPr>
          <w:ilvl w:val="0"/>
          <w:numId w:val="2"/>
        </w:numPr>
        <w:ind w:leftChars="0"/>
        <w:rPr>
          <w:rFonts w:ascii="Times New Roman" w:hAnsi="Times New Roman" w:cs="Times New Roman"/>
        </w:rPr>
      </w:pPr>
      <w:r w:rsidRPr="00923C8E">
        <w:rPr>
          <w:rFonts w:ascii="Times New Roman" w:hAnsi="Times New Roman" w:cs="Times New Roman"/>
        </w:rPr>
        <w:t>從講學自由到學術自由</w:t>
      </w:r>
    </w:p>
    <w:tbl>
      <w:tblPr>
        <w:tblStyle w:val="ab"/>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181C10" w14:paraId="05FBA1BB" w14:textId="77777777" w:rsidTr="00EA69D5">
        <w:tc>
          <w:tcPr>
            <w:tcW w:w="8356" w:type="dxa"/>
          </w:tcPr>
          <w:p w14:paraId="3F06DA46" w14:textId="77777777" w:rsidR="00D74848" w:rsidRDefault="00181C10" w:rsidP="00D74848">
            <w:pPr>
              <w:pStyle w:val="a3"/>
              <w:numPr>
                <w:ilvl w:val="0"/>
                <w:numId w:val="14"/>
              </w:numPr>
              <w:ind w:leftChars="0"/>
              <w:jc w:val="both"/>
              <w:rPr>
                <w:rFonts w:ascii="Times New Roman" w:hAnsi="Times New Roman" w:cs="Times New Roman"/>
              </w:rPr>
            </w:pPr>
            <w:r w:rsidRPr="00D74848">
              <w:rPr>
                <w:rFonts w:ascii="Times New Roman" w:hAnsi="Times New Roman" w:cs="Times New Roman" w:hint="eastAsia"/>
              </w:rPr>
              <w:t>憲法第</w:t>
            </w:r>
            <w:r w:rsidRPr="00D74848">
              <w:rPr>
                <w:rFonts w:ascii="Times New Roman" w:hAnsi="Times New Roman" w:cs="Times New Roman" w:hint="eastAsia"/>
              </w:rPr>
              <w:t xml:space="preserve">11 </w:t>
            </w:r>
            <w:r w:rsidRPr="00D74848">
              <w:rPr>
                <w:rFonts w:ascii="Times New Roman" w:hAnsi="Times New Roman" w:cs="Times New Roman" w:hint="eastAsia"/>
              </w:rPr>
              <w:t>條講學自由與學術自由關係為何？</w:t>
            </w:r>
          </w:p>
          <w:p w14:paraId="04F095C9" w14:textId="77777777" w:rsidR="00D74848" w:rsidRPr="00D74848" w:rsidRDefault="00D74848" w:rsidP="00D74848">
            <w:pPr>
              <w:pStyle w:val="a3"/>
              <w:ind w:leftChars="0" w:left="720"/>
              <w:jc w:val="both"/>
              <w:rPr>
                <w:rFonts w:ascii="Times New Roman" w:hAnsi="Times New Roman" w:cs="Times New Roman"/>
              </w:rPr>
            </w:pPr>
            <w:r w:rsidRPr="00D74848">
              <w:rPr>
                <w:rFonts w:ascii="Times New Roman" w:hAnsi="Times New Roman" w:cs="Times New Roman" w:hint="eastAsia"/>
              </w:rPr>
              <w:t>共同特質：內心思想活動欲傳遞於外。</w:t>
            </w:r>
          </w:p>
          <w:p w14:paraId="1CAEF825" w14:textId="77777777" w:rsidR="00D74848" w:rsidRDefault="00D74848" w:rsidP="00D74848">
            <w:pPr>
              <w:pStyle w:val="a3"/>
              <w:numPr>
                <w:ilvl w:val="0"/>
                <w:numId w:val="14"/>
              </w:numPr>
              <w:ind w:leftChars="0"/>
              <w:jc w:val="both"/>
              <w:rPr>
                <w:rFonts w:ascii="Times New Roman" w:hAnsi="Times New Roman" w:cs="Times New Roman"/>
              </w:rPr>
            </w:pPr>
            <w:r>
              <w:rPr>
                <w:rFonts w:ascii="Times New Roman" w:hAnsi="Times New Roman" w:cs="Times New Roman" w:hint="eastAsia"/>
              </w:rPr>
              <w:t>言論自由與講學自由之差別？</w:t>
            </w:r>
          </w:p>
          <w:p w14:paraId="7F7258C9" w14:textId="77777777" w:rsidR="00767CD1" w:rsidRDefault="00E13E6B" w:rsidP="00767CD1">
            <w:pPr>
              <w:pStyle w:val="a3"/>
              <w:numPr>
                <w:ilvl w:val="0"/>
                <w:numId w:val="22"/>
              </w:numPr>
              <w:ind w:leftChars="0"/>
              <w:jc w:val="both"/>
              <w:rPr>
                <w:rFonts w:ascii="Times New Roman" w:hAnsi="Times New Roman" w:cs="Times New Roman"/>
              </w:rPr>
            </w:pPr>
            <w:r>
              <w:rPr>
                <w:rFonts w:ascii="Times New Roman" w:hAnsi="Times New Roman" w:cs="Times New Roman" w:hint="eastAsia"/>
              </w:rPr>
              <w:t>講學也是言論的一種，欲避免重複規定，應賦予講學自由不同於言論自由的概念內涵</w:t>
            </w:r>
            <w:r w:rsidR="00D74848">
              <w:rPr>
                <w:rFonts w:ascii="Times New Roman" w:hAnsi="Times New Roman" w:cs="Times New Roman" w:hint="eastAsia"/>
              </w:rPr>
              <w:t>。</w:t>
            </w:r>
          </w:p>
          <w:p w14:paraId="60C523CF" w14:textId="77777777" w:rsidR="005B27FA" w:rsidRPr="005B27FA" w:rsidRDefault="00E13E6B" w:rsidP="00767CD1">
            <w:pPr>
              <w:pStyle w:val="a3"/>
              <w:numPr>
                <w:ilvl w:val="0"/>
                <w:numId w:val="22"/>
              </w:numPr>
              <w:ind w:leftChars="0"/>
              <w:jc w:val="both"/>
              <w:rPr>
                <w:rFonts w:ascii="Times New Roman" w:hAnsi="Times New Roman" w:cs="Times New Roman"/>
              </w:rPr>
            </w:pPr>
            <w:r>
              <w:rPr>
                <w:rFonts w:ascii="Times New Roman" w:hAnsi="Times New Roman" w:cs="Times New Roman" w:hint="eastAsia"/>
              </w:rPr>
              <w:t>因而從講學自由推演出</w:t>
            </w:r>
            <w:r w:rsidR="005B27FA" w:rsidRPr="00D74848">
              <w:rPr>
                <w:rFonts w:ascii="Times New Roman" w:hAnsi="Times New Roman" w:cs="Times New Roman" w:hint="eastAsia"/>
              </w:rPr>
              <w:t>學術自由概念，</w:t>
            </w:r>
            <w:r w:rsidR="00D74848">
              <w:rPr>
                <w:rFonts w:ascii="Times New Roman" w:hAnsi="Times New Roman" w:cs="Times New Roman" w:hint="eastAsia"/>
              </w:rPr>
              <w:t>包含研究自由、教學自由及學習自由</w:t>
            </w:r>
            <w:r>
              <w:rPr>
                <w:rFonts w:ascii="Times New Roman" w:hAnsi="Times New Roman" w:cs="Times New Roman" w:hint="eastAsia"/>
              </w:rPr>
              <w:t>與大學自治</w:t>
            </w:r>
            <w:r w:rsidR="00D74848">
              <w:rPr>
                <w:rFonts w:ascii="Times New Roman" w:hAnsi="Times New Roman" w:cs="Times New Roman" w:hint="eastAsia"/>
              </w:rPr>
              <w:t>等事項，並</w:t>
            </w:r>
            <w:r w:rsidR="005B27FA" w:rsidRPr="00D74848">
              <w:rPr>
                <w:rFonts w:ascii="Times New Roman" w:hAnsi="Times New Roman" w:cs="Times New Roman" w:hint="eastAsia"/>
              </w:rPr>
              <w:t>非單純之言論自由。</w:t>
            </w:r>
          </w:p>
        </w:tc>
      </w:tr>
    </w:tbl>
    <w:p w14:paraId="21783B22" w14:textId="77777777" w:rsidR="00181C10" w:rsidRPr="00923C8E" w:rsidRDefault="00181C10" w:rsidP="00181C10">
      <w:pPr>
        <w:pStyle w:val="a3"/>
        <w:ind w:leftChars="0" w:left="1440"/>
        <w:rPr>
          <w:rFonts w:ascii="Times New Roman" w:hAnsi="Times New Roman" w:cs="Times New Roman"/>
        </w:rPr>
      </w:pPr>
    </w:p>
    <w:p w14:paraId="1C8143AC" w14:textId="77777777" w:rsidR="0035120A" w:rsidRPr="00923C8E" w:rsidRDefault="0035120A" w:rsidP="0035120A">
      <w:pPr>
        <w:pStyle w:val="a3"/>
        <w:numPr>
          <w:ilvl w:val="0"/>
          <w:numId w:val="2"/>
        </w:numPr>
        <w:ind w:leftChars="0"/>
        <w:rPr>
          <w:rFonts w:ascii="Times New Roman" w:hAnsi="Times New Roman" w:cs="Times New Roman"/>
        </w:rPr>
      </w:pPr>
      <w:r w:rsidRPr="00923C8E">
        <w:rPr>
          <w:rFonts w:ascii="Times New Roman" w:hAnsi="Times New Roman" w:cs="Times New Roman"/>
        </w:rPr>
        <w:t>學術自由的內涵</w:t>
      </w:r>
    </w:p>
    <w:p w14:paraId="260DD96E" w14:textId="77777777" w:rsidR="0035120A" w:rsidRDefault="0035120A" w:rsidP="0035120A">
      <w:pPr>
        <w:pStyle w:val="a3"/>
        <w:numPr>
          <w:ilvl w:val="0"/>
          <w:numId w:val="3"/>
        </w:numPr>
        <w:ind w:leftChars="0"/>
        <w:rPr>
          <w:rFonts w:ascii="Times New Roman" w:hAnsi="Times New Roman" w:cs="Times New Roman"/>
        </w:rPr>
      </w:pPr>
      <w:r w:rsidRPr="00923C8E">
        <w:rPr>
          <w:rFonts w:ascii="Times New Roman" w:hAnsi="Times New Roman" w:cs="Times New Roman"/>
        </w:rPr>
        <w:t>制度性保障</w:t>
      </w:r>
    </w:p>
    <w:tbl>
      <w:tblPr>
        <w:tblStyle w:val="ab"/>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tblGrid>
      <w:tr w:rsidR="005B27FA" w:rsidRPr="00CF5031" w14:paraId="27F87B2E" w14:textId="77777777" w:rsidTr="00EA69D5">
        <w:tc>
          <w:tcPr>
            <w:tcW w:w="8356" w:type="dxa"/>
          </w:tcPr>
          <w:p w14:paraId="7C5B106C" w14:textId="77777777" w:rsidR="005B27FA" w:rsidRDefault="005B27FA" w:rsidP="00D74848">
            <w:pPr>
              <w:pStyle w:val="a3"/>
              <w:numPr>
                <w:ilvl w:val="0"/>
                <w:numId w:val="15"/>
              </w:numPr>
              <w:ind w:leftChars="0"/>
              <w:jc w:val="both"/>
              <w:rPr>
                <w:rFonts w:ascii="Times New Roman" w:hAnsi="Times New Roman" w:cs="Times New Roman"/>
              </w:rPr>
            </w:pPr>
            <w:r>
              <w:rPr>
                <w:rFonts w:ascii="Times New Roman" w:hAnsi="Times New Roman" w:cs="Times New Roman" w:hint="eastAsia"/>
              </w:rPr>
              <w:t>德國法之</w:t>
            </w:r>
            <w:r w:rsidR="00D74848">
              <w:rPr>
                <w:rFonts w:ascii="Times New Roman" w:hAnsi="Times New Roman" w:cs="Times New Roman" w:hint="eastAsia"/>
              </w:rPr>
              <w:t>發展</w:t>
            </w:r>
            <w:r>
              <w:rPr>
                <w:rFonts w:ascii="Times New Roman" w:hAnsi="Times New Roman" w:cs="Times New Roman" w:hint="eastAsia"/>
              </w:rPr>
              <w:t>。</w:t>
            </w:r>
          </w:p>
          <w:p w14:paraId="4C91F9AB" w14:textId="77777777" w:rsidR="005B27FA" w:rsidRDefault="005B27FA" w:rsidP="00D74848">
            <w:pPr>
              <w:pStyle w:val="a3"/>
              <w:numPr>
                <w:ilvl w:val="0"/>
                <w:numId w:val="15"/>
              </w:numPr>
              <w:ind w:leftChars="0"/>
              <w:jc w:val="both"/>
              <w:rPr>
                <w:rFonts w:ascii="Times New Roman" w:hAnsi="Times New Roman" w:cs="Times New Roman"/>
              </w:rPr>
            </w:pPr>
            <w:r w:rsidRPr="00D74848">
              <w:rPr>
                <w:rFonts w:ascii="Times New Roman" w:hAnsi="Times New Roman" w:cs="Times New Roman" w:hint="eastAsia"/>
              </w:rPr>
              <w:t>釋字</w:t>
            </w:r>
            <w:r w:rsidRPr="00D74848">
              <w:rPr>
                <w:rFonts w:ascii="Times New Roman" w:hAnsi="Times New Roman" w:cs="Times New Roman" w:hint="eastAsia"/>
              </w:rPr>
              <w:t>380</w:t>
            </w:r>
            <w:r w:rsidRPr="00D74848">
              <w:rPr>
                <w:rFonts w:ascii="Times New Roman" w:hAnsi="Times New Roman" w:cs="Times New Roman" w:hint="eastAsia"/>
              </w:rPr>
              <w:t>號：「</w:t>
            </w:r>
            <w:r w:rsidRPr="00D74848">
              <w:rPr>
                <w:rFonts w:ascii="Arial" w:hAnsi="Arial" w:cs="Arial"/>
                <w:color w:val="000000"/>
              </w:rPr>
              <w:t>憲法第十一條關於講學自由之規定，係對學術自由之</w:t>
            </w:r>
            <w:r w:rsidRPr="00D74848">
              <w:rPr>
                <w:rFonts w:ascii="Arial" w:hAnsi="Arial" w:cs="Arial"/>
                <w:b/>
                <w:color w:val="000000"/>
              </w:rPr>
              <w:t>制度性保障</w:t>
            </w:r>
            <w:r w:rsidRPr="00D74848">
              <w:rPr>
                <w:rFonts w:ascii="Arial" w:hAnsi="Arial" w:cs="Arial"/>
                <w:color w:val="000000"/>
              </w:rPr>
              <w:t>；就大學教育而言，應包含研究自由、教學自由及學習自由等事項。</w:t>
            </w:r>
            <w:r w:rsidRPr="00D74848">
              <w:rPr>
                <w:rFonts w:ascii="Times New Roman" w:hAnsi="Times New Roman" w:cs="Times New Roman" w:hint="eastAsia"/>
              </w:rPr>
              <w:t>」</w:t>
            </w:r>
            <w:r w:rsidR="00820B8A">
              <w:rPr>
                <w:rFonts w:ascii="標楷體" w:eastAsia="標楷體" w:hAnsi="標楷體"/>
                <w:noProof/>
              </w:rPr>
              <w:drawing>
                <wp:inline distT="0" distB="0" distL="0" distR="0" wp14:anchorId="0E8EEC67" wp14:editId="1C0FEF61">
                  <wp:extent cx="222636" cy="195005"/>
                  <wp:effectExtent l="0" t="0" r="6350" b="0"/>
                  <wp:docPr id="6" name="圖片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1723E778" w14:textId="77777777" w:rsidR="00D74848" w:rsidRDefault="00D74848" w:rsidP="00D74848">
            <w:pPr>
              <w:pStyle w:val="a3"/>
              <w:numPr>
                <w:ilvl w:val="0"/>
                <w:numId w:val="15"/>
              </w:numPr>
              <w:ind w:leftChars="0"/>
              <w:jc w:val="both"/>
              <w:rPr>
                <w:rFonts w:ascii="Times New Roman" w:hAnsi="Times New Roman" w:cs="Times New Roman"/>
              </w:rPr>
            </w:pPr>
            <w:r>
              <w:rPr>
                <w:rFonts w:ascii="Times New Roman" w:hAnsi="Times New Roman" w:cs="Times New Roman" w:hint="eastAsia"/>
              </w:rPr>
              <w:t>意涵</w:t>
            </w:r>
            <w:r w:rsidR="005B27FA" w:rsidRPr="00D74848">
              <w:rPr>
                <w:rFonts w:ascii="Times New Roman" w:hAnsi="Times New Roman" w:cs="Times New Roman" w:hint="eastAsia"/>
              </w:rPr>
              <w:t>：</w:t>
            </w:r>
          </w:p>
          <w:p w14:paraId="5773B1F8" w14:textId="77777777" w:rsidR="006474AE" w:rsidRPr="006474AE" w:rsidRDefault="006474AE" w:rsidP="006474AE">
            <w:pPr>
              <w:pStyle w:val="a3"/>
              <w:numPr>
                <w:ilvl w:val="0"/>
                <w:numId w:val="17"/>
              </w:numPr>
              <w:ind w:leftChars="0"/>
              <w:jc w:val="both"/>
              <w:rPr>
                <w:rFonts w:ascii="Times New Roman" w:hAnsi="Times New Roman" w:cs="Times New Roman"/>
              </w:rPr>
            </w:pPr>
            <w:r w:rsidRPr="006474AE">
              <w:rPr>
                <w:rFonts w:ascii="Times New Roman" w:hAnsi="Times New Roman" w:cs="Times New Roman" w:hint="eastAsia"/>
              </w:rPr>
              <w:t>社會長久以來存在的基礎，不待國家以法律去創設、或規範。</w:t>
            </w:r>
          </w:p>
          <w:p w14:paraId="0C7F6CF6" w14:textId="77777777" w:rsidR="006474AE" w:rsidRPr="00E13E6B" w:rsidRDefault="00931648" w:rsidP="00E13E6B">
            <w:pPr>
              <w:pStyle w:val="a3"/>
              <w:numPr>
                <w:ilvl w:val="0"/>
                <w:numId w:val="17"/>
              </w:numPr>
              <w:ind w:leftChars="0"/>
              <w:jc w:val="both"/>
              <w:rPr>
                <w:rFonts w:ascii="Times New Roman" w:hAnsi="Times New Roman" w:cs="Times New Roman"/>
              </w:rPr>
            </w:pPr>
            <w:r>
              <w:rPr>
                <w:rFonts w:ascii="Times New Roman" w:hAnsi="Times New Roman" w:cs="Times New Roman" w:hint="eastAsia"/>
              </w:rPr>
              <w:t>立法者不得以制定</w:t>
            </w:r>
            <w:r w:rsidR="006474AE">
              <w:rPr>
                <w:rFonts w:ascii="Times New Roman" w:hAnsi="Times New Roman" w:cs="Times New Roman" w:hint="eastAsia"/>
              </w:rPr>
              <w:t>法</w:t>
            </w:r>
            <w:r>
              <w:rPr>
                <w:rFonts w:ascii="Times New Roman" w:hAnsi="Times New Roman" w:cs="Times New Roman" w:hint="eastAsia"/>
              </w:rPr>
              <w:t>律之</w:t>
            </w:r>
            <w:r w:rsidR="006474AE">
              <w:rPr>
                <w:rFonts w:ascii="Times New Roman" w:hAnsi="Times New Roman" w:cs="Times New Roman" w:hint="eastAsia"/>
              </w:rPr>
              <w:t>方式</w:t>
            </w:r>
            <w:r>
              <w:rPr>
                <w:rFonts w:ascii="Times New Roman" w:hAnsi="Times New Roman" w:cs="Times New Roman" w:hint="eastAsia"/>
              </w:rPr>
              <w:t>，</w:t>
            </w:r>
            <w:r w:rsidR="006474AE">
              <w:rPr>
                <w:rFonts w:ascii="Times New Roman" w:hAnsi="Times New Roman" w:cs="Times New Roman" w:hint="eastAsia"/>
              </w:rPr>
              <w:t>任意</w:t>
            </w:r>
            <w:r w:rsidR="006474AE" w:rsidRPr="00D74848">
              <w:rPr>
                <w:rFonts w:ascii="Times New Roman" w:hAnsi="Times New Roman" w:cs="Times New Roman" w:hint="eastAsia"/>
              </w:rPr>
              <w:t>侵犯、架空或變更</w:t>
            </w:r>
            <w:r w:rsidR="00E13E6B">
              <w:rPr>
                <w:rFonts w:ascii="Times New Roman" w:hAnsi="Times New Roman" w:cs="Times New Roman" w:hint="eastAsia"/>
              </w:rPr>
              <w:t>大學自治與</w:t>
            </w:r>
            <w:r w:rsidR="006474AE" w:rsidRPr="00D74848">
              <w:rPr>
                <w:rFonts w:ascii="Times New Roman" w:hAnsi="Times New Roman" w:cs="Times New Roman" w:hint="eastAsia"/>
              </w:rPr>
              <w:t>學術自由。</w:t>
            </w:r>
          </w:p>
          <w:p w14:paraId="0F83C222" w14:textId="77777777" w:rsidR="000000CA" w:rsidRDefault="002C48D4" w:rsidP="00D74848">
            <w:pPr>
              <w:pStyle w:val="a3"/>
              <w:numPr>
                <w:ilvl w:val="0"/>
                <w:numId w:val="15"/>
              </w:numPr>
              <w:ind w:leftChars="0"/>
              <w:jc w:val="both"/>
              <w:rPr>
                <w:rFonts w:ascii="Times New Roman" w:hAnsi="Times New Roman" w:cs="Times New Roman"/>
              </w:rPr>
            </w:pPr>
            <w:r>
              <w:rPr>
                <w:rFonts w:ascii="Times New Roman" w:hAnsi="Times New Roman" w:cs="Times New Roman" w:hint="eastAsia"/>
              </w:rPr>
              <w:t>為何大學需要自治、獨立及講學自由？又</w:t>
            </w:r>
            <w:r w:rsidR="000000CA">
              <w:rPr>
                <w:rFonts w:ascii="Times New Roman" w:hAnsi="Times New Roman" w:cs="Times New Roman" w:hint="eastAsia"/>
              </w:rPr>
              <w:t>為何國</w:t>
            </w:r>
            <w:r>
              <w:rPr>
                <w:rFonts w:ascii="Times New Roman" w:hAnsi="Times New Roman" w:cs="Times New Roman" w:hint="eastAsia"/>
              </w:rPr>
              <w:t>（</w:t>
            </w:r>
            <w:r w:rsidR="000000CA">
              <w:rPr>
                <w:rFonts w:ascii="Times New Roman" w:hAnsi="Times New Roman" w:cs="Times New Roman" w:hint="eastAsia"/>
              </w:rPr>
              <w:t>中</w:t>
            </w:r>
            <w:r>
              <w:rPr>
                <w:rFonts w:ascii="Times New Roman" w:hAnsi="Times New Roman" w:cs="Times New Roman" w:hint="eastAsia"/>
              </w:rPr>
              <w:t>）</w:t>
            </w:r>
            <w:r w:rsidR="000000CA">
              <w:rPr>
                <w:rFonts w:ascii="Times New Roman" w:hAnsi="Times New Roman" w:cs="Times New Roman" w:hint="eastAsia"/>
              </w:rPr>
              <w:t>小、高中教師無講學自由？</w:t>
            </w:r>
          </w:p>
          <w:p w14:paraId="4CBB3EA2" w14:textId="77777777" w:rsidR="002C48D4" w:rsidRDefault="002C48D4" w:rsidP="002C48D4">
            <w:pPr>
              <w:pStyle w:val="a3"/>
              <w:ind w:leftChars="0" w:left="360"/>
              <w:jc w:val="both"/>
              <w:rPr>
                <w:rFonts w:ascii="Times New Roman" w:hAnsi="Times New Roman" w:cs="Times New Roman"/>
              </w:rPr>
            </w:pPr>
            <w:r>
              <w:rPr>
                <w:rFonts w:ascii="Times New Roman" w:hAnsi="Times New Roman" w:cs="Times New Roman" w:hint="eastAsia"/>
                <w:bdr w:val="single" w:sz="4" w:space="0" w:color="auto"/>
              </w:rPr>
              <w:t>思考</w:t>
            </w:r>
            <w:r>
              <w:rPr>
                <w:rFonts w:ascii="Times New Roman" w:hAnsi="Times New Roman" w:cs="Times New Roman" w:hint="eastAsia"/>
              </w:rPr>
              <w:t>：國（中）小及高中的基礎教育皆為單純之知識傳遞嗎？</w:t>
            </w:r>
            <w:r w:rsidR="003010F7">
              <w:rPr>
                <w:rFonts w:ascii="Times New Roman" w:hAnsi="Times New Roman" w:cs="Times New Roman" w:hint="eastAsia"/>
              </w:rPr>
              <w:t>過去的基礎教育已形塑之知識該如何更正？</w:t>
            </w:r>
          </w:p>
          <w:p w14:paraId="465EB41A" w14:textId="77777777" w:rsidR="002C48D4" w:rsidRDefault="006474AE" w:rsidP="002C48D4">
            <w:pPr>
              <w:pStyle w:val="a3"/>
              <w:numPr>
                <w:ilvl w:val="0"/>
                <w:numId w:val="15"/>
              </w:numPr>
              <w:ind w:leftChars="0"/>
              <w:jc w:val="both"/>
              <w:rPr>
                <w:rFonts w:ascii="Times New Roman" w:hAnsi="Times New Roman" w:cs="Times New Roman"/>
              </w:rPr>
            </w:pPr>
            <w:r>
              <w:rPr>
                <w:rFonts w:ascii="Times New Roman" w:hAnsi="Times New Roman" w:cs="Times New Roman" w:hint="eastAsia"/>
              </w:rPr>
              <w:t>假設大學自主核心在於講學自由，則憲法中已有明文規定，為何還要談論大學自治？</w:t>
            </w:r>
          </w:p>
          <w:p w14:paraId="3A302ED3" w14:textId="77777777" w:rsidR="002C48D4" w:rsidRDefault="002C48D4" w:rsidP="002C48D4">
            <w:pPr>
              <w:pStyle w:val="a3"/>
              <w:numPr>
                <w:ilvl w:val="0"/>
                <w:numId w:val="19"/>
              </w:numPr>
              <w:ind w:leftChars="0"/>
              <w:jc w:val="both"/>
              <w:rPr>
                <w:rFonts w:ascii="Times New Roman" w:hAnsi="Times New Roman" w:cs="Times New Roman"/>
              </w:rPr>
            </w:pPr>
            <w:r>
              <w:rPr>
                <w:rFonts w:ascii="Times New Roman" w:hAnsi="Times New Roman" w:cs="Times New Roman" w:hint="eastAsia"/>
              </w:rPr>
              <w:t>大學自治為</w:t>
            </w:r>
            <w:r w:rsidRPr="002C48D4">
              <w:rPr>
                <w:rFonts w:ascii="Times New Roman" w:hAnsi="Times New Roman" w:cs="Times New Roman" w:hint="eastAsia"/>
              </w:rPr>
              <w:t>講學自由之前提，保障</w:t>
            </w:r>
            <w:r>
              <w:rPr>
                <w:rFonts w:ascii="Times New Roman" w:hAnsi="Times New Roman" w:cs="Times New Roman" w:hint="eastAsia"/>
              </w:rPr>
              <w:t>的</w:t>
            </w:r>
            <w:r w:rsidRPr="002C48D4">
              <w:rPr>
                <w:rFonts w:ascii="Times New Roman" w:hAnsi="Times New Roman" w:cs="Times New Roman" w:hint="eastAsia"/>
              </w:rPr>
              <w:t>範圍較講學自由</w:t>
            </w:r>
            <w:r>
              <w:rPr>
                <w:rFonts w:ascii="Times New Roman" w:hAnsi="Times New Roman" w:cs="Times New Roman" w:hint="eastAsia"/>
              </w:rPr>
              <w:t>來得</w:t>
            </w:r>
            <w:r w:rsidRPr="002C48D4">
              <w:rPr>
                <w:rFonts w:ascii="Times New Roman" w:hAnsi="Times New Roman" w:cs="Times New Roman" w:hint="eastAsia"/>
              </w:rPr>
              <w:t>廣。</w:t>
            </w:r>
          </w:p>
          <w:p w14:paraId="65812546" w14:textId="77777777" w:rsidR="002C48D4" w:rsidRPr="002C48D4" w:rsidRDefault="002C48D4" w:rsidP="002C48D4">
            <w:pPr>
              <w:pStyle w:val="a3"/>
              <w:numPr>
                <w:ilvl w:val="0"/>
                <w:numId w:val="19"/>
              </w:numPr>
              <w:ind w:leftChars="0"/>
              <w:jc w:val="both"/>
              <w:rPr>
                <w:rFonts w:ascii="Times New Roman" w:hAnsi="Times New Roman" w:cs="Times New Roman"/>
              </w:rPr>
            </w:pPr>
            <w:r>
              <w:rPr>
                <w:rFonts w:ascii="Times New Roman" w:hAnsi="Times New Roman" w:cs="Times New Roman" w:hint="eastAsia"/>
              </w:rPr>
              <w:t>單一講學者主張講學自由的力量薄弱，以一個</w:t>
            </w:r>
            <w:r w:rsidRPr="002C48D4">
              <w:rPr>
                <w:rFonts w:ascii="Times New Roman" w:hAnsi="Times New Roman" w:cs="Times New Roman" w:hint="eastAsia"/>
              </w:rPr>
              <w:t>團體、組織或制度來對抗外界壓力</w:t>
            </w:r>
            <w:r>
              <w:rPr>
                <w:rFonts w:ascii="Times New Roman" w:hAnsi="Times New Roman" w:cs="Times New Roman" w:hint="eastAsia"/>
              </w:rPr>
              <w:t>（</w:t>
            </w:r>
            <w:r w:rsidRPr="002C48D4">
              <w:rPr>
                <w:rFonts w:ascii="Times New Roman" w:hAnsi="Times New Roman" w:cs="Times New Roman" w:hint="eastAsia"/>
              </w:rPr>
              <w:t>國家公權力</w:t>
            </w:r>
            <w:r>
              <w:rPr>
                <w:rFonts w:ascii="Times New Roman" w:hAnsi="Times New Roman" w:cs="Times New Roman" w:hint="eastAsia"/>
              </w:rPr>
              <w:t>）</w:t>
            </w:r>
            <w:r w:rsidRPr="002C48D4">
              <w:rPr>
                <w:rFonts w:ascii="Times New Roman" w:hAnsi="Times New Roman" w:cs="Times New Roman" w:hint="eastAsia"/>
              </w:rPr>
              <w:t>較為有利。</w:t>
            </w:r>
          </w:p>
          <w:p w14:paraId="267FD95B" w14:textId="77777777" w:rsidR="006474AE" w:rsidRDefault="006474AE" w:rsidP="006474AE">
            <w:pPr>
              <w:pStyle w:val="a3"/>
              <w:numPr>
                <w:ilvl w:val="0"/>
                <w:numId w:val="15"/>
              </w:numPr>
              <w:ind w:leftChars="0"/>
              <w:jc w:val="both"/>
              <w:rPr>
                <w:rFonts w:ascii="Times New Roman" w:hAnsi="Times New Roman" w:cs="Times New Roman"/>
              </w:rPr>
            </w:pPr>
            <w:r>
              <w:rPr>
                <w:rFonts w:ascii="Times New Roman" w:hAnsi="Times New Roman" w:cs="Times New Roman" w:hint="eastAsia"/>
              </w:rPr>
              <w:lastRenderedPageBreak/>
              <w:t>為何國家公權力會有干預講學自由的傾向？</w:t>
            </w:r>
          </w:p>
          <w:p w14:paraId="11C23341" w14:textId="0666DC68" w:rsidR="006474AE" w:rsidRDefault="002C48D4" w:rsidP="006474AE">
            <w:pPr>
              <w:pStyle w:val="a3"/>
              <w:numPr>
                <w:ilvl w:val="0"/>
                <w:numId w:val="18"/>
              </w:numPr>
              <w:ind w:leftChars="0"/>
              <w:jc w:val="both"/>
              <w:rPr>
                <w:rFonts w:ascii="Times New Roman" w:hAnsi="Times New Roman" w:cs="Times New Roman"/>
              </w:rPr>
            </w:pPr>
            <w:r>
              <w:rPr>
                <w:rFonts w:ascii="Times New Roman" w:hAnsi="Times New Roman" w:cs="Times New Roman" w:hint="eastAsia"/>
              </w:rPr>
              <w:t>無論在民主或威權體制下，</w:t>
            </w:r>
            <w:r w:rsidR="006474AE" w:rsidRPr="006474AE">
              <w:rPr>
                <w:rFonts w:ascii="Times New Roman" w:hAnsi="Times New Roman" w:cs="Times New Roman" w:hint="eastAsia"/>
              </w:rPr>
              <w:t>執政者</w:t>
            </w:r>
            <w:r>
              <w:rPr>
                <w:rFonts w:ascii="Times New Roman" w:hAnsi="Times New Roman" w:cs="Times New Roman" w:hint="eastAsia"/>
              </w:rPr>
              <w:t>（</w:t>
            </w:r>
            <w:r w:rsidR="006474AE" w:rsidRPr="006474AE">
              <w:rPr>
                <w:rFonts w:ascii="Times New Roman" w:hAnsi="Times New Roman" w:cs="Times New Roman" w:hint="eastAsia"/>
              </w:rPr>
              <w:t>國家公權力</w:t>
            </w:r>
            <w:r>
              <w:rPr>
                <w:rFonts w:ascii="Times New Roman" w:hAnsi="Times New Roman" w:cs="Times New Roman" w:hint="eastAsia"/>
              </w:rPr>
              <w:t>）對輿論皆十分</w:t>
            </w:r>
            <w:r w:rsidR="006474AE" w:rsidRPr="006474AE">
              <w:rPr>
                <w:rFonts w:ascii="Times New Roman" w:hAnsi="Times New Roman" w:cs="Times New Roman" w:hint="eastAsia"/>
              </w:rPr>
              <w:t>敏感</w:t>
            </w:r>
            <w:r w:rsidR="00EA69D5">
              <w:rPr>
                <w:rFonts w:ascii="Times New Roman" w:hAnsi="Times New Roman" w:cs="Times New Roman" w:hint="eastAsia"/>
              </w:rPr>
              <w:t>，尤其是牽涉到</w:t>
            </w:r>
            <w:r w:rsidR="00E13E6B">
              <w:rPr>
                <w:rFonts w:ascii="Times New Roman" w:hAnsi="Times New Roman" w:cs="Times New Roman" w:hint="eastAsia"/>
              </w:rPr>
              <w:t>危及統治權的</w:t>
            </w:r>
            <w:r>
              <w:rPr>
                <w:rFonts w:ascii="Times New Roman" w:hAnsi="Times New Roman" w:cs="Times New Roman" w:hint="eastAsia"/>
              </w:rPr>
              <w:t>部分</w:t>
            </w:r>
            <w:r w:rsidR="006474AE" w:rsidRPr="006474AE">
              <w:rPr>
                <w:rFonts w:ascii="Times New Roman" w:hAnsi="Times New Roman" w:cs="Times New Roman" w:hint="eastAsia"/>
              </w:rPr>
              <w:t>。</w:t>
            </w:r>
          </w:p>
          <w:p w14:paraId="62350B1E" w14:textId="77777777" w:rsidR="00CF5031" w:rsidRPr="003010F7" w:rsidRDefault="006474AE" w:rsidP="003010F7">
            <w:pPr>
              <w:pStyle w:val="a3"/>
              <w:numPr>
                <w:ilvl w:val="0"/>
                <w:numId w:val="18"/>
              </w:numPr>
              <w:ind w:leftChars="0"/>
              <w:jc w:val="both"/>
              <w:rPr>
                <w:rFonts w:ascii="Times New Roman" w:hAnsi="Times New Roman" w:cs="Times New Roman"/>
              </w:rPr>
            </w:pPr>
            <w:r>
              <w:rPr>
                <w:rFonts w:ascii="Times New Roman" w:hAnsi="Times New Roman" w:cs="Times New Roman" w:hint="eastAsia"/>
              </w:rPr>
              <w:t>通常知識分子</w:t>
            </w:r>
            <w:r w:rsidR="002C48D4">
              <w:rPr>
                <w:rFonts w:ascii="Times New Roman" w:hAnsi="Times New Roman" w:cs="Times New Roman" w:hint="eastAsia"/>
              </w:rPr>
              <w:t>（</w:t>
            </w:r>
            <w:r>
              <w:rPr>
                <w:rFonts w:ascii="Times New Roman" w:hAnsi="Times New Roman" w:cs="Times New Roman" w:hint="eastAsia"/>
              </w:rPr>
              <w:t>社會菁英</w:t>
            </w:r>
            <w:r w:rsidR="002C48D4">
              <w:rPr>
                <w:rFonts w:ascii="Times New Roman" w:hAnsi="Times New Roman" w:cs="Times New Roman" w:hint="eastAsia"/>
              </w:rPr>
              <w:t>）的言論對統治者最具威脅性，而大學正是知識份子匯聚</w:t>
            </w:r>
            <w:r>
              <w:rPr>
                <w:rFonts w:ascii="Times New Roman" w:hAnsi="Times New Roman" w:cs="Times New Roman" w:hint="eastAsia"/>
              </w:rPr>
              <w:t>之處。</w:t>
            </w:r>
          </w:p>
        </w:tc>
      </w:tr>
    </w:tbl>
    <w:p w14:paraId="029A622A" w14:textId="77777777" w:rsidR="005B27FA" w:rsidRPr="005B27FA" w:rsidRDefault="005B27FA" w:rsidP="005B27FA">
      <w:pPr>
        <w:pStyle w:val="a3"/>
        <w:ind w:leftChars="0" w:left="2160"/>
        <w:rPr>
          <w:rFonts w:ascii="Times New Roman" w:hAnsi="Times New Roman" w:cs="Times New Roman"/>
        </w:rPr>
      </w:pPr>
    </w:p>
    <w:p w14:paraId="77B49F8D" w14:textId="77777777" w:rsidR="0035120A" w:rsidRDefault="0035120A" w:rsidP="0035120A">
      <w:pPr>
        <w:pStyle w:val="a3"/>
        <w:numPr>
          <w:ilvl w:val="0"/>
          <w:numId w:val="3"/>
        </w:numPr>
        <w:ind w:leftChars="0"/>
        <w:rPr>
          <w:rFonts w:ascii="Times New Roman" w:hAnsi="Times New Roman" w:cs="Times New Roman"/>
        </w:rPr>
      </w:pPr>
      <w:r w:rsidRPr="00923C8E">
        <w:rPr>
          <w:rFonts w:ascii="Times New Roman" w:hAnsi="Times New Roman" w:cs="Times New Roman"/>
        </w:rPr>
        <w:t>研究自由，教學自由及學習自由</w:t>
      </w:r>
    </w:p>
    <w:tbl>
      <w:tblPr>
        <w:tblStyle w:val="ab"/>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tblGrid>
      <w:tr w:rsidR="005B27FA" w14:paraId="68B00D83" w14:textId="77777777" w:rsidTr="00CD61FD">
        <w:tc>
          <w:tcPr>
            <w:tcW w:w="8356" w:type="dxa"/>
          </w:tcPr>
          <w:p w14:paraId="6759CA33" w14:textId="77777777" w:rsidR="006A560A" w:rsidRDefault="006A560A" w:rsidP="00E80621">
            <w:pPr>
              <w:pStyle w:val="a3"/>
              <w:numPr>
                <w:ilvl w:val="0"/>
                <w:numId w:val="23"/>
              </w:numPr>
              <w:ind w:leftChars="0"/>
              <w:jc w:val="both"/>
              <w:rPr>
                <w:rFonts w:ascii="Times New Roman" w:hAnsi="Times New Roman" w:cs="Times New Roman"/>
              </w:rPr>
            </w:pPr>
            <w:r>
              <w:rPr>
                <w:rFonts w:ascii="Times New Roman" w:hAnsi="Times New Roman" w:cs="Times New Roman" w:hint="eastAsia"/>
              </w:rPr>
              <w:t>必修</w:t>
            </w:r>
            <w:r w:rsidR="00BB02A1">
              <w:rPr>
                <w:rFonts w:ascii="Times New Roman" w:hAnsi="Times New Roman" w:cs="Times New Roman" w:hint="eastAsia"/>
              </w:rPr>
              <w:t>課之</w:t>
            </w:r>
            <w:r>
              <w:rPr>
                <w:rFonts w:ascii="Times New Roman" w:hAnsi="Times New Roman" w:cs="Times New Roman" w:hint="eastAsia"/>
              </w:rPr>
              <w:t>規定是否侵害學生學習自由之權益？</w:t>
            </w:r>
          </w:p>
          <w:p w14:paraId="7AAEFF89" w14:textId="77777777" w:rsidR="006A560A" w:rsidRDefault="006A560A" w:rsidP="00514B75">
            <w:pPr>
              <w:pStyle w:val="a3"/>
              <w:numPr>
                <w:ilvl w:val="0"/>
                <w:numId w:val="23"/>
              </w:numPr>
              <w:ind w:leftChars="0"/>
              <w:jc w:val="both"/>
              <w:rPr>
                <w:rFonts w:ascii="Times New Roman" w:hAnsi="Times New Roman" w:cs="Times New Roman"/>
              </w:rPr>
            </w:pPr>
            <w:r w:rsidRPr="00E80621">
              <w:rPr>
                <w:rFonts w:ascii="Times New Roman" w:hAnsi="Times New Roman" w:cs="Times New Roman" w:hint="eastAsia"/>
              </w:rPr>
              <w:t>學生因具有滿腔熱血，時常參與社會運動，而致未依規定請假，曠課達</w:t>
            </w:r>
            <w:proofErr w:type="gramStart"/>
            <w:r w:rsidRPr="00E80621">
              <w:rPr>
                <w:rFonts w:ascii="Times New Roman" w:hAnsi="Times New Roman" w:cs="Times New Roman" w:hint="eastAsia"/>
              </w:rPr>
              <w:t>一</w:t>
            </w:r>
            <w:proofErr w:type="gramEnd"/>
            <w:r w:rsidRPr="00E80621">
              <w:rPr>
                <w:rFonts w:ascii="Times New Roman" w:hAnsi="Times New Roman" w:cs="Times New Roman" w:hint="eastAsia"/>
              </w:rPr>
              <w:t>定時數而被學校開除學籍。請問此項作為是否侵害學生受教權而有違憲之虞？</w:t>
            </w:r>
            <w:r w:rsidR="00AA009B" w:rsidRPr="00E80621">
              <w:rPr>
                <w:rFonts w:ascii="Times New Roman" w:hAnsi="Times New Roman" w:cs="Times New Roman" w:hint="eastAsia"/>
              </w:rPr>
              <w:t xml:space="preserve"> </w:t>
            </w:r>
          </w:p>
          <w:p w14:paraId="268E1206" w14:textId="77777777" w:rsidR="00AA009B" w:rsidRDefault="001952D3" w:rsidP="00AA009B">
            <w:pPr>
              <w:pStyle w:val="a3"/>
              <w:numPr>
                <w:ilvl w:val="0"/>
                <w:numId w:val="23"/>
              </w:numPr>
              <w:ind w:leftChars="0"/>
              <w:jc w:val="both"/>
              <w:rPr>
                <w:rFonts w:ascii="Times New Roman" w:hAnsi="Times New Roman" w:cs="Times New Roman"/>
              </w:rPr>
            </w:pPr>
            <w:r w:rsidRPr="00E80621">
              <w:rPr>
                <w:rFonts w:ascii="Times New Roman" w:hAnsi="Times New Roman" w:cs="Times New Roman" w:hint="eastAsia"/>
              </w:rPr>
              <w:t>針對時下流行之「名嘴教授」，</w:t>
            </w:r>
            <w:r w:rsidR="00BB02A1">
              <w:rPr>
                <w:rFonts w:ascii="Times New Roman" w:hAnsi="Times New Roman" w:cs="Times New Roman" w:hint="eastAsia"/>
              </w:rPr>
              <w:t>若</w:t>
            </w:r>
            <w:r w:rsidR="00E80621">
              <w:rPr>
                <w:rFonts w:ascii="Times New Roman" w:hAnsi="Times New Roman" w:cs="Times New Roman" w:hint="eastAsia"/>
              </w:rPr>
              <w:t>有</w:t>
            </w:r>
            <w:r w:rsidR="008E4336" w:rsidRPr="00E80621">
              <w:rPr>
                <w:rFonts w:ascii="Times New Roman" w:hAnsi="Times New Roman" w:cs="Times New Roman" w:hint="eastAsia"/>
              </w:rPr>
              <w:t>下列三種層次</w:t>
            </w:r>
            <w:r w:rsidR="00BB02A1">
              <w:rPr>
                <w:rFonts w:ascii="Times New Roman" w:hAnsi="Times New Roman" w:cs="Times New Roman" w:hint="eastAsia"/>
              </w:rPr>
              <w:t>之法</w:t>
            </w:r>
            <w:r w:rsidR="008E4336" w:rsidRPr="00E80621">
              <w:rPr>
                <w:rFonts w:ascii="Times New Roman" w:hAnsi="Times New Roman" w:cs="Times New Roman" w:hint="eastAsia"/>
              </w:rPr>
              <w:t>規範</w:t>
            </w:r>
            <w:r w:rsidR="00BB02A1">
              <w:rPr>
                <w:rFonts w:ascii="Times New Roman" w:hAnsi="Times New Roman" w:cs="Times New Roman" w:hint="eastAsia"/>
              </w:rPr>
              <w:t>去限制</w:t>
            </w:r>
            <w:r w:rsidR="00E80621">
              <w:rPr>
                <w:rFonts w:ascii="Times New Roman" w:hAnsi="Times New Roman" w:cs="Times New Roman" w:hint="eastAsia"/>
              </w:rPr>
              <w:t>其每周在外兼職時數</w:t>
            </w:r>
            <w:r w:rsidR="00BB02A1">
              <w:rPr>
                <w:rFonts w:ascii="Times New Roman" w:hAnsi="Times New Roman" w:cs="Times New Roman" w:hint="eastAsia"/>
              </w:rPr>
              <w:t>，</w:t>
            </w:r>
            <w:proofErr w:type="gramStart"/>
            <w:r w:rsidR="00BB02A1">
              <w:rPr>
                <w:rFonts w:ascii="Times New Roman" w:hAnsi="Times New Roman" w:cs="Times New Roman" w:hint="eastAsia"/>
              </w:rPr>
              <w:t>何者具合法性</w:t>
            </w:r>
            <w:proofErr w:type="gramEnd"/>
            <w:r w:rsidR="00E80621">
              <w:rPr>
                <w:rFonts w:ascii="Times New Roman" w:hAnsi="Times New Roman" w:cs="Times New Roman" w:hint="eastAsia"/>
              </w:rPr>
              <w:t>：</w:t>
            </w:r>
            <w:r w:rsidR="008E4336" w:rsidRPr="00E80621">
              <w:rPr>
                <w:rFonts w:ascii="Times New Roman" w:hAnsi="Times New Roman" w:cs="Times New Roman" w:hint="eastAsia"/>
              </w:rPr>
              <w:t>一、</w:t>
            </w:r>
            <w:r w:rsidRPr="00E80621">
              <w:rPr>
                <w:rFonts w:ascii="Times New Roman" w:hAnsi="Times New Roman" w:cs="Times New Roman" w:hint="eastAsia"/>
              </w:rPr>
              <w:t>立法院透過</w:t>
            </w:r>
            <w:r w:rsidR="00E80621">
              <w:rPr>
                <w:rFonts w:ascii="Times New Roman" w:hAnsi="Times New Roman" w:cs="Times New Roman" w:hint="eastAsia"/>
              </w:rPr>
              <w:t>制定</w:t>
            </w:r>
            <w:r w:rsidRPr="00E80621">
              <w:rPr>
                <w:rFonts w:ascii="Times New Roman" w:hAnsi="Times New Roman" w:cs="Times New Roman" w:hint="eastAsia"/>
              </w:rPr>
              <w:t>法</w:t>
            </w:r>
            <w:r w:rsidR="00BB02A1">
              <w:rPr>
                <w:rFonts w:ascii="Times New Roman" w:hAnsi="Times New Roman" w:cs="Times New Roman" w:hint="eastAsia"/>
              </w:rPr>
              <w:t>律之方</w:t>
            </w:r>
            <w:r w:rsidR="00E80621">
              <w:rPr>
                <w:rFonts w:ascii="Times New Roman" w:hAnsi="Times New Roman" w:cs="Times New Roman" w:hint="eastAsia"/>
              </w:rPr>
              <w:t>式</w:t>
            </w:r>
            <w:r w:rsidRPr="00E80621">
              <w:rPr>
                <w:rFonts w:ascii="Times New Roman" w:hAnsi="Times New Roman" w:cs="Times New Roman" w:hint="eastAsia"/>
              </w:rPr>
              <w:t>限制</w:t>
            </w:r>
            <w:r w:rsidR="008E4336" w:rsidRPr="00E80621">
              <w:rPr>
                <w:rFonts w:ascii="Times New Roman" w:hAnsi="Times New Roman" w:cs="Times New Roman" w:hint="eastAsia"/>
              </w:rPr>
              <w:t>之；</w:t>
            </w:r>
            <w:r w:rsidR="00E80621">
              <w:rPr>
                <w:rFonts w:ascii="Times New Roman" w:hAnsi="Times New Roman" w:cs="Times New Roman" w:hint="eastAsia"/>
              </w:rPr>
              <w:t>二、教育部以行政命令</w:t>
            </w:r>
            <w:r w:rsidR="008E4336" w:rsidRPr="00E80621">
              <w:rPr>
                <w:rFonts w:ascii="Times New Roman" w:hAnsi="Times New Roman" w:cs="Times New Roman" w:hint="eastAsia"/>
              </w:rPr>
              <w:t>限制之；</w:t>
            </w:r>
            <w:r w:rsidR="00E80621">
              <w:rPr>
                <w:rFonts w:ascii="Times New Roman" w:hAnsi="Times New Roman" w:cs="Times New Roman" w:hint="eastAsia"/>
              </w:rPr>
              <w:t>三、</w:t>
            </w:r>
            <w:r w:rsidR="008E4336" w:rsidRPr="00E80621">
              <w:rPr>
                <w:rFonts w:ascii="Times New Roman" w:hAnsi="Times New Roman" w:cs="Times New Roman" w:hint="eastAsia"/>
              </w:rPr>
              <w:t>學</w:t>
            </w:r>
            <w:r w:rsidR="00E80621">
              <w:rPr>
                <w:rFonts w:ascii="Times New Roman" w:hAnsi="Times New Roman" w:cs="Times New Roman" w:hint="eastAsia"/>
              </w:rPr>
              <w:t>校依大學法</w:t>
            </w:r>
            <w:r w:rsidR="008E4336" w:rsidRPr="00E80621">
              <w:rPr>
                <w:rFonts w:ascii="Times New Roman" w:hAnsi="Times New Roman" w:cs="Times New Roman" w:hint="eastAsia"/>
              </w:rPr>
              <w:t>自行訂定</w:t>
            </w:r>
            <w:r w:rsidR="00E80621">
              <w:rPr>
                <w:rFonts w:ascii="Times New Roman" w:hAnsi="Times New Roman" w:cs="Times New Roman" w:hint="eastAsia"/>
              </w:rPr>
              <w:t>施行細則</w:t>
            </w:r>
            <w:r w:rsidR="008E4336" w:rsidRPr="00E80621">
              <w:rPr>
                <w:rFonts w:ascii="Times New Roman" w:hAnsi="Times New Roman" w:cs="Times New Roman" w:hint="eastAsia"/>
              </w:rPr>
              <w:t>管理之。</w:t>
            </w:r>
            <w:r w:rsidR="00E80621">
              <w:rPr>
                <w:rFonts w:ascii="Times New Roman" w:hAnsi="Times New Roman" w:cs="Times New Roman" w:hint="eastAsia"/>
              </w:rPr>
              <w:t>試問就上述三種</w:t>
            </w:r>
            <w:r w:rsidR="008E4336" w:rsidRPr="00E80621">
              <w:rPr>
                <w:rFonts w:ascii="Times New Roman" w:hAnsi="Times New Roman" w:cs="Times New Roman" w:hint="eastAsia"/>
              </w:rPr>
              <w:t>層次而言</w:t>
            </w:r>
            <w:r w:rsidRPr="00E80621">
              <w:rPr>
                <w:rFonts w:ascii="Times New Roman" w:hAnsi="Times New Roman" w:cs="Times New Roman" w:hint="eastAsia"/>
              </w:rPr>
              <w:t>，</w:t>
            </w:r>
            <w:r w:rsidR="008E4336" w:rsidRPr="00E80621">
              <w:rPr>
                <w:rFonts w:ascii="Times New Roman" w:hAnsi="Times New Roman" w:cs="Times New Roman" w:hint="eastAsia"/>
              </w:rPr>
              <w:t>受規範之教授</w:t>
            </w:r>
            <w:r w:rsidRPr="00E80621">
              <w:rPr>
                <w:rFonts w:ascii="Times New Roman" w:hAnsi="Times New Roman" w:cs="Times New Roman" w:hint="eastAsia"/>
              </w:rPr>
              <w:t>可否</w:t>
            </w:r>
            <w:r w:rsidR="00E80621">
              <w:rPr>
                <w:rFonts w:ascii="Times New Roman" w:hAnsi="Times New Roman" w:cs="Times New Roman" w:hint="eastAsia"/>
              </w:rPr>
              <w:t>據以</w:t>
            </w:r>
            <w:r w:rsidRPr="00E80621">
              <w:rPr>
                <w:rFonts w:ascii="Times New Roman" w:hAnsi="Times New Roman" w:cs="Times New Roman" w:hint="eastAsia"/>
              </w:rPr>
              <w:t>主張講學自由、言論自由及學術自由</w:t>
            </w:r>
            <w:r w:rsidR="00E80621">
              <w:rPr>
                <w:rFonts w:ascii="Times New Roman" w:hAnsi="Times New Roman" w:cs="Times New Roman" w:hint="eastAsia"/>
              </w:rPr>
              <w:t>遭受侵害</w:t>
            </w:r>
            <w:r w:rsidRPr="00E80621">
              <w:rPr>
                <w:rFonts w:ascii="Times New Roman" w:hAnsi="Times New Roman" w:cs="Times New Roman" w:hint="eastAsia"/>
              </w:rPr>
              <w:t>？</w:t>
            </w:r>
          </w:p>
          <w:p w14:paraId="33562F58" w14:textId="77777777" w:rsidR="00E80621" w:rsidRPr="00E80621" w:rsidRDefault="00E80621" w:rsidP="00E80621">
            <w:pPr>
              <w:jc w:val="both"/>
              <w:rPr>
                <w:rFonts w:ascii="Times New Roman" w:hAnsi="Times New Roman" w:cs="Times New Roman"/>
                <w:bdr w:val="single" w:sz="4" w:space="0" w:color="auto"/>
              </w:rPr>
            </w:pPr>
            <w:r w:rsidRPr="00E80621">
              <w:rPr>
                <w:rFonts w:ascii="Times New Roman" w:hAnsi="Times New Roman" w:cs="Times New Roman" w:hint="eastAsia"/>
                <w:bdr w:val="single" w:sz="4" w:space="0" w:color="auto"/>
              </w:rPr>
              <w:t>思考點</w:t>
            </w:r>
          </w:p>
          <w:p w14:paraId="0C632188" w14:textId="77777777" w:rsidR="00E80621" w:rsidRDefault="00E80621" w:rsidP="00E80621">
            <w:pPr>
              <w:pStyle w:val="a3"/>
              <w:numPr>
                <w:ilvl w:val="0"/>
                <w:numId w:val="24"/>
              </w:numPr>
              <w:ind w:leftChars="0"/>
              <w:jc w:val="both"/>
              <w:rPr>
                <w:rFonts w:ascii="Times New Roman" w:hAnsi="Times New Roman" w:cs="Times New Roman"/>
              </w:rPr>
            </w:pPr>
            <w:r>
              <w:rPr>
                <w:rFonts w:ascii="Times New Roman" w:hAnsi="Times New Roman" w:cs="Times New Roman" w:hint="eastAsia"/>
              </w:rPr>
              <w:t>人民（學生或教授）有選擇進入某大學就讀或執教的自由，對於各該學校之校規、退學規定及教師守則等規範事項，</w:t>
            </w:r>
            <w:r w:rsidR="00FA4CA1">
              <w:rPr>
                <w:rFonts w:ascii="Times New Roman" w:hAnsi="Times New Roman" w:cs="Times New Roman" w:hint="eastAsia"/>
              </w:rPr>
              <w:t>在事先</w:t>
            </w:r>
            <w:r>
              <w:rPr>
                <w:rFonts w:ascii="Times New Roman" w:hAnsi="Times New Roman" w:cs="Times New Roman" w:hint="eastAsia"/>
              </w:rPr>
              <w:t>應</w:t>
            </w:r>
            <w:r w:rsidR="00FA4CA1">
              <w:rPr>
                <w:rFonts w:ascii="Times New Roman" w:hAnsi="Times New Roman" w:cs="Times New Roman" w:hint="eastAsia"/>
              </w:rPr>
              <w:t>可得而知，並依此有合理之期待與規劃</w:t>
            </w:r>
            <w:r>
              <w:rPr>
                <w:rFonts w:ascii="Times New Roman" w:hAnsi="Times New Roman" w:cs="Times New Roman" w:hint="eastAsia"/>
              </w:rPr>
              <w:t>。</w:t>
            </w:r>
          </w:p>
          <w:p w14:paraId="520A1AB9" w14:textId="77777777" w:rsidR="00E80621" w:rsidRPr="00FA4CA1" w:rsidRDefault="00FA4CA1" w:rsidP="00FA4CA1">
            <w:pPr>
              <w:pStyle w:val="a3"/>
              <w:numPr>
                <w:ilvl w:val="0"/>
                <w:numId w:val="24"/>
              </w:numPr>
              <w:ind w:leftChars="0"/>
              <w:jc w:val="both"/>
              <w:rPr>
                <w:rFonts w:ascii="Times New Roman" w:hAnsi="Times New Roman" w:cs="Times New Roman"/>
              </w:rPr>
            </w:pPr>
            <w:r>
              <w:rPr>
                <w:rFonts w:ascii="Times New Roman" w:hAnsi="Times New Roman" w:cs="Times New Roman" w:hint="eastAsia"/>
              </w:rPr>
              <w:t>因憲法對「大學自治」之制度性保障，</w:t>
            </w:r>
            <w:r w:rsidR="008E4336">
              <w:rPr>
                <w:rFonts w:ascii="Times New Roman" w:hAnsi="Times New Roman" w:cs="Times New Roman" w:hint="eastAsia"/>
              </w:rPr>
              <w:t>學校</w:t>
            </w:r>
            <w:r>
              <w:rPr>
                <w:rFonts w:ascii="Times New Roman" w:hAnsi="Times New Roman" w:cs="Times New Roman" w:hint="eastAsia"/>
              </w:rPr>
              <w:t>能</w:t>
            </w:r>
            <w:proofErr w:type="gramStart"/>
            <w:r>
              <w:rPr>
                <w:rFonts w:ascii="Times New Roman" w:hAnsi="Times New Roman" w:cs="Times New Roman" w:hint="eastAsia"/>
              </w:rPr>
              <w:t>秉</w:t>
            </w:r>
            <w:proofErr w:type="gramEnd"/>
            <w:r>
              <w:rPr>
                <w:rFonts w:ascii="Times New Roman" w:hAnsi="Times New Roman" w:cs="Times New Roman" w:hint="eastAsia"/>
              </w:rPr>
              <w:t>其專業判斷原則，訂定相關規範以管理學校教職員工生。</w:t>
            </w:r>
          </w:p>
        </w:tc>
      </w:tr>
    </w:tbl>
    <w:p w14:paraId="4503406B" w14:textId="77777777" w:rsidR="005B27FA" w:rsidRPr="00923C8E" w:rsidRDefault="005B27FA" w:rsidP="005B27FA">
      <w:pPr>
        <w:pStyle w:val="a3"/>
        <w:ind w:leftChars="0" w:left="2160"/>
        <w:rPr>
          <w:rFonts w:ascii="Times New Roman" w:hAnsi="Times New Roman" w:cs="Times New Roman"/>
        </w:rPr>
      </w:pPr>
    </w:p>
    <w:p w14:paraId="28CB1CF1" w14:textId="77777777" w:rsidR="0035120A" w:rsidRPr="00923C8E" w:rsidRDefault="0035120A" w:rsidP="0035120A">
      <w:pPr>
        <w:pStyle w:val="a3"/>
        <w:ind w:leftChars="0" w:left="2160"/>
        <w:rPr>
          <w:rFonts w:ascii="Times New Roman" w:hAnsi="Times New Roman" w:cs="Times New Roman"/>
        </w:rPr>
      </w:pPr>
    </w:p>
    <w:p w14:paraId="13221BC0" w14:textId="77777777" w:rsidR="00F71279" w:rsidRPr="00923C8E" w:rsidRDefault="000227EB" w:rsidP="00F71279">
      <w:pPr>
        <w:pStyle w:val="a3"/>
        <w:numPr>
          <w:ilvl w:val="0"/>
          <w:numId w:val="1"/>
        </w:numPr>
        <w:ind w:leftChars="0"/>
        <w:rPr>
          <w:rFonts w:ascii="Times New Roman" w:hAnsi="Times New Roman" w:cs="Times New Roman"/>
        </w:rPr>
      </w:pPr>
      <w:r w:rsidRPr="00923C8E">
        <w:rPr>
          <w:rFonts w:ascii="Times New Roman" w:hAnsi="Times New Roman" w:cs="Times New Roman"/>
        </w:rPr>
        <w:t>大學自治及其限制</w:t>
      </w:r>
    </w:p>
    <w:p w14:paraId="1E8F5232" w14:textId="77777777" w:rsidR="0035120A" w:rsidRPr="00923C8E" w:rsidRDefault="0035120A" w:rsidP="0035120A">
      <w:pPr>
        <w:pStyle w:val="a3"/>
        <w:numPr>
          <w:ilvl w:val="0"/>
          <w:numId w:val="4"/>
        </w:numPr>
        <w:ind w:leftChars="0"/>
        <w:rPr>
          <w:rFonts w:ascii="Times New Roman" w:hAnsi="Times New Roman" w:cs="Times New Roman"/>
        </w:rPr>
      </w:pPr>
      <w:r w:rsidRPr="00923C8E">
        <w:rPr>
          <w:rFonts w:ascii="Times New Roman" w:hAnsi="Times New Roman" w:cs="Times New Roman"/>
        </w:rPr>
        <w:t>大學自治之內容</w:t>
      </w:r>
    </w:p>
    <w:p w14:paraId="7B50F98A" w14:textId="77777777" w:rsidR="000227EB" w:rsidRPr="00BB02A1" w:rsidRDefault="000227EB" w:rsidP="00BB02A1">
      <w:pPr>
        <w:pStyle w:val="a3"/>
        <w:numPr>
          <w:ilvl w:val="0"/>
          <w:numId w:val="5"/>
        </w:numPr>
        <w:ind w:leftChars="0"/>
        <w:rPr>
          <w:rFonts w:ascii="Times New Roman" w:hAnsi="Times New Roman" w:cs="Times New Roman"/>
        </w:rPr>
      </w:pPr>
      <w:r w:rsidRPr="00923C8E">
        <w:rPr>
          <w:rFonts w:ascii="Times New Roman" w:hAnsi="Times New Roman" w:cs="Times New Roman"/>
        </w:rPr>
        <w:t>組織權</w:t>
      </w:r>
      <w:r w:rsidR="00BB02A1">
        <w:rPr>
          <w:rFonts w:ascii="Times New Roman" w:hAnsi="Times New Roman" w:cs="Times New Roman" w:hint="eastAsia"/>
        </w:rPr>
        <w:t xml:space="preserve"> </w:t>
      </w:r>
      <w:r w:rsidR="00BB02A1">
        <w:rPr>
          <w:rFonts w:ascii="Times New Roman" w:hAnsi="Times New Roman" w:cs="Times New Roman" w:hint="eastAsia"/>
        </w:rPr>
        <w:t>（釋字第</w:t>
      </w:r>
      <w:r w:rsidR="00BB02A1">
        <w:rPr>
          <w:rFonts w:ascii="Times New Roman" w:hAnsi="Times New Roman" w:cs="Times New Roman" w:hint="eastAsia"/>
        </w:rPr>
        <w:t>450</w:t>
      </w:r>
      <w:r w:rsidR="00BB02A1">
        <w:rPr>
          <w:rFonts w:ascii="Times New Roman" w:hAnsi="Times New Roman" w:cs="Times New Roman" w:hint="eastAsia"/>
        </w:rPr>
        <w:t>解釋）</w:t>
      </w:r>
    </w:p>
    <w:p w14:paraId="6C8217DE" w14:textId="77777777" w:rsidR="000227EB" w:rsidRPr="00923C8E" w:rsidRDefault="000227EB" w:rsidP="000227EB">
      <w:pPr>
        <w:pStyle w:val="a3"/>
        <w:numPr>
          <w:ilvl w:val="0"/>
          <w:numId w:val="5"/>
        </w:numPr>
        <w:ind w:leftChars="0"/>
        <w:rPr>
          <w:rFonts w:ascii="Times New Roman" w:hAnsi="Times New Roman" w:cs="Times New Roman"/>
        </w:rPr>
      </w:pPr>
      <w:r w:rsidRPr="00923C8E">
        <w:rPr>
          <w:rFonts w:ascii="Times New Roman" w:hAnsi="Times New Roman" w:cs="Times New Roman"/>
        </w:rPr>
        <w:t>規範制定權</w:t>
      </w:r>
      <w:r w:rsidR="00BB02A1">
        <w:rPr>
          <w:rFonts w:ascii="Times New Roman" w:hAnsi="Times New Roman" w:cs="Times New Roman" w:hint="eastAsia"/>
        </w:rPr>
        <w:t xml:space="preserve"> </w:t>
      </w:r>
      <w:r w:rsidR="00BB02A1">
        <w:rPr>
          <w:rFonts w:ascii="Times New Roman" w:hAnsi="Times New Roman" w:cs="Times New Roman" w:hint="eastAsia"/>
        </w:rPr>
        <w:t>（</w:t>
      </w:r>
      <w:r w:rsidR="00E01A84">
        <w:rPr>
          <w:rFonts w:ascii="Times New Roman" w:hAnsi="Times New Roman" w:cs="Times New Roman" w:hint="eastAsia"/>
        </w:rPr>
        <w:t>釋字第</w:t>
      </w:r>
      <w:r w:rsidR="00E01A84">
        <w:rPr>
          <w:rFonts w:ascii="Times New Roman" w:hAnsi="Times New Roman" w:cs="Times New Roman" w:hint="eastAsia"/>
        </w:rPr>
        <w:t>626</w:t>
      </w:r>
      <w:r w:rsidR="00E01A84">
        <w:rPr>
          <w:rFonts w:ascii="Times New Roman" w:hAnsi="Times New Roman" w:cs="Times New Roman" w:hint="eastAsia"/>
        </w:rPr>
        <w:t>解釋</w:t>
      </w:r>
      <w:r w:rsidR="00BB02A1">
        <w:rPr>
          <w:rFonts w:ascii="Times New Roman" w:hAnsi="Times New Roman" w:cs="Times New Roman" w:hint="eastAsia"/>
        </w:rPr>
        <w:t>）</w:t>
      </w:r>
    </w:p>
    <w:p w14:paraId="55DA9FDA" w14:textId="77777777" w:rsidR="000227EB" w:rsidRPr="00923C8E" w:rsidRDefault="002665B5" w:rsidP="000227EB">
      <w:pPr>
        <w:pStyle w:val="a3"/>
        <w:numPr>
          <w:ilvl w:val="0"/>
          <w:numId w:val="5"/>
        </w:numPr>
        <w:ind w:leftChars="0"/>
        <w:rPr>
          <w:rFonts w:ascii="Times New Roman" w:hAnsi="Times New Roman" w:cs="Times New Roman"/>
        </w:rPr>
      </w:pPr>
      <w:r w:rsidRPr="00923C8E">
        <w:rPr>
          <w:rFonts w:ascii="Times New Roman" w:hAnsi="Times New Roman" w:cs="Times New Roman"/>
        </w:rPr>
        <w:t>管理與懲戒</w:t>
      </w:r>
      <w:r w:rsidR="000227EB" w:rsidRPr="00923C8E">
        <w:rPr>
          <w:rFonts w:ascii="Times New Roman" w:hAnsi="Times New Roman" w:cs="Times New Roman"/>
        </w:rPr>
        <w:t>權</w:t>
      </w:r>
      <w:r w:rsidR="00E01A84">
        <w:rPr>
          <w:rFonts w:ascii="Times New Roman" w:hAnsi="Times New Roman" w:cs="Times New Roman" w:hint="eastAsia"/>
        </w:rPr>
        <w:t xml:space="preserve"> </w:t>
      </w:r>
      <w:r w:rsidR="00E01A84">
        <w:rPr>
          <w:rFonts w:ascii="Times New Roman" w:hAnsi="Times New Roman" w:cs="Times New Roman" w:hint="eastAsia"/>
        </w:rPr>
        <w:t>（釋字第</w:t>
      </w:r>
      <w:r w:rsidR="00E01A84">
        <w:rPr>
          <w:rFonts w:ascii="Times New Roman" w:hAnsi="Times New Roman" w:cs="Times New Roman" w:hint="eastAsia"/>
        </w:rPr>
        <w:t>563</w:t>
      </w:r>
      <w:r w:rsidR="00E01A84">
        <w:rPr>
          <w:rFonts w:ascii="Times New Roman" w:hAnsi="Times New Roman" w:cs="Times New Roman" w:hint="eastAsia"/>
        </w:rPr>
        <w:t>解釋）</w:t>
      </w:r>
    </w:p>
    <w:p w14:paraId="3F333FF1" w14:textId="77777777" w:rsidR="0035120A" w:rsidRDefault="000227EB" w:rsidP="0035120A">
      <w:pPr>
        <w:pStyle w:val="a3"/>
        <w:numPr>
          <w:ilvl w:val="0"/>
          <w:numId w:val="4"/>
        </w:numPr>
        <w:ind w:leftChars="0"/>
        <w:rPr>
          <w:rFonts w:ascii="Times New Roman" w:hAnsi="Times New Roman" w:cs="Times New Roman"/>
        </w:rPr>
      </w:pPr>
      <w:r w:rsidRPr="00923C8E">
        <w:rPr>
          <w:rFonts w:ascii="Times New Roman" w:hAnsi="Times New Roman" w:cs="Times New Roman"/>
        </w:rPr>
        <w:t>法律保留之限制</w:t>
      </w:r>
    </w:p>
    <w:tbl>
      <w:tblPr>
        <w:tblStyle w:val="ab"/>
        <w:tblW w:w="0" w:type="auto"/>
        <w:tblInd w:w="1440" w:type="dxa"/>
        <w:tblBorders>
          <w:insideH w:val="none" w:sz="0" w:space="0" w:color="auto"/>
          <w:insideV w:val="none" w:sz="0" w:space="0" w:color="auto"/>
        </w:tblBorders>
        <w:tblLook w:val="04A0" w:firstRow="1" w:lastRow="0" w:firstColumn="1" w:lastColumn="0" w:noHBand="0" w:noVBand="1"/>
      </w:tblPr>
      <w:tblGrid>
        <w:gridCol w:w="7076"/>
      </w:tblGrid>
      <w:tr w:rsidR="006C7C0B" w14:paraId="09ADD5E1" w14:textId="77777777" w:rsidTr="00CD61FD">
        <w:tc>
          <w:tcPr>
            <w:tcW w:w="8356" w:type="dxa"/>
          </w:tcPr>
          <w:p w14:paraId="2C28E0E9" w14:textId="77777777" w:rsidR="006C7C0B" w:rsidRDefault="006C7C0B" w:rsidP="006C7C0B">
            <w:pPr>
              <w:pStyle w:val="a3"/>
              <w:ind w:leftChars="0" w:left="0"/>
              <w:jc w:val="both"/>
              <w:rPr>
                <w:rFonts w:ascii="Times New Roman" w:hAnsi="Times New Roman" w:cs="Times New Roman"/>
              </w:rPr>
            </w:pPr>
            <w:r w:rsidRPr="008637F7">
              <w:rPr>
                <w:rFonts w:ascii="Times New Roman" w:hAnsi="Times New Roman" w:cs="Times New Roman" w:hint="eastAsia"/>
                <w:u w:val="single"/>
              </w:rPr>
              <w:lastRenderedPageBreak/>
              <w:t>大學自治與法律保留之衝突</w:t>
            </w:r>
            <w:r>
              <w:rPr>
                <w:rFonts w:ascii="Times New Roman" w:hAnsi="Times New Roman" w:cs="Times New Roman" w:hint="eastAsia"/>
              </w:rPr>
              <w:t>：</w:t>
            </w:r>
          </w:p>
          <w:p w14:paraId="374914C0" w14:textId="77777777" w:rsidR="006C7C0B" w:rsidRPr="00D52A0E" w:rsidRDefault="006C7C0B" w:rsidP="00D52A0E">
            <w:pPr>
              <w:pStyle w:val="a3"/>
              <w:ind w:leftChars="100" w:left="240"/>
              <w:jc w:val="both"/>
              <w:rPr>
                <w:rFonts w:ascii="Times New Roman" w:hAnsi="Times New Roman" w:cs="Times New Roman"/>
              </w:rPr>
            </w:pPr>
            <w:r>
              <w:rPr>
                <w:rFonts w:ascii="Times New Roman" w:hAnsi="Times New Roman" w:cs="Times New Roman" w:hint="eastAsia"/>
              </w:rPr>
              <w:t>國會對於大學之整體運作應</w:t>
            </w:r>
            <w:r w:rsidR="008637F7">
              <w:rPr>
                <w:rFonts w:ascii="Times New Roman" w:hAnsi="Times New Roman" w:cs="Times New Roman" w:hint="eastAsia"/>
              </w:rPr>
              <w:t>有一框架性法律，訂定</w:t>
            </w:r>
            <w:r>
              <w:rPr>
                <w:rFonts w:ascii="Times New Roman" w:hAnsi="Times New Roman" w:cs="Times New Roman" w:hint="eastAsia"/>
              </w:rPr>
              <w:t>基本</w:t>
            </w:r>
            <w:r w:rsidR="008637F7">
              <w:rPr>
                <w:rFonts w:ascii="Times New Roman" w:hAnsi="Times New Roman" w:cs="Times New Roman" w:hint="eastAsia"/>
              </w:rPr>
              <w:t>的原則與架構提供各大學</w:t>
            </w:r>
            <w:r>
              <w:rPr>
                <w:rFonts w:ascii="Times New Roman" w:hAnsi="Times New Roman" w:cs="Times New Roman" w:hint="eastAsia"/>
              </w:rPr>
              <w:t>一定</w:t>
            </w:r>
            <w:r w:rsidR="008637F7" w:rsidRPr="00D52A0E">
              <w:rPr>
                <w:rFonts w:ascii="Times New Roman" w:hAnsi="Times New Roman" w:cs="Times New Roman" w:hint="eastAsia"/>
              </w:rPr>
              <w:t>依循</w:t>
            </w:r>
            <w:r w:rsidR="00D52A0E">
              <w:rPr>
                <w:rFonts w:ascii="Times New Roman" w:hAnsi="Times New Roman" w:cs="Times New Roman" w:hint="eastAsia"/>
              </w:rPr>
              <w:t>的基礎。然而，於</w:t>
            </w:r>
            <w:r w:rsidR="008637F7" w:rsidRPr="00D52A0E">
              <w:rPr>
                <w:rFonts w:ascii="Times New Roman" w:hAnsi="Times New Roman" w:cs="Times New Roman" w:hint="eastAsia"/>
              </w:rPr>
              <w:t>此當中仍</w:t>
            </w:r>
            <w:r w:rsidRPr="00D52A0E">
              <w:rPr>
                <w:rFonts w:ascii="Times New Roman" w:hAnsi="Times New Roman" w:cs="Times New Roman" w:hint="eastAsia"/>
              </w:rPr>
              <w:t>必須尊重大學自治，不得</w:t>
            </w:r>
            <w:r w:rsidR="008637F7" w:rsidRPr="00D52A0E">
              <w:rPr>
                <w:rFonts w:ascii="Times New Roman" w:hAnsi="Times New Roman" w:cs="Times New Roman" w:hint="eastAsia"/>
              </w:rPr>
              <w:t>以法律保留為由，</w:t>
            </w:r>
            <w:r w:rsidRPr="00D52A0E">
              <w:rPr>
                <w:rFonts w:ascii="Times New Roman" w:hAnsi="Times New Roman" w:cs="Times New Roman" w:hint="eastAsia"/>
              </w:rPr>
              <w:t>掏空其自治權。</w:t>
            </w:r>
          </w:p>
        </w:tc>
      </w:tr>
    </w:tbl>
    <w:p w14:paraId="6CF2E131" w14:textId="77777777" w:rsidR="002665B5" w:rsidRPr="00923C8E" w:rsidRDefault="002665B5" w:rsidP="002665B5">
      <w:pPr>
        <w:pStyle w:val="a3"/>
        <w:numPr>
          <w:ilvl w:val="0"/>
          <w:numId w:val="10"/>
        </w:numPr>
        <w:ind w:leftChars="0"/>
        <w:rPr>
          <w:rFonts w:ascii="Times New Roman" w:hAnsi="Times New Roman" w:cs="Times New Roman"/>
        </w:rPr>
      </w:pPr>
      <w:r w:rsidRPr="00923C8E">
        <w:rPr>
          <w:rFonts w:ascii="Times New Roman" w:hAnsi="Times New Roman" w:cs="Times New Roman"/>
        </w:rPr>
        <w:t>國會不得侵害憲法上之制度性保障</w:t>
      </w:r>
    </w:p>
    <w:p w14:paraId="3CB60771" w14:textId="77777777" w:rsidR="002665B5" w:rsidRDefault="002665B5" w:rsidP="002665B5">
      <w:pPr>
        <w:pStyle w:val="a3"/>
        <w:numPr>
          <w:ilvl w:val="0"/>
          <w:numId w:val="10"/>
        </w:numPr>
        <w:ind w:leftChars="0"/>
        <w:rPr>
          <w:rFonts w:ascii="Times New Roman" w:hAnsi="Times New Roman" w:cs="Times New Roman"/>
        </w:rPr>
      </w:pPr>
      <w:r w:rsidRPr="00923C8E">
        <w:rPr>
          <w:rFonts w:ascii="Times New Roman" w:hAnsi="Times New Roman" w:cs="Times New Roman"/>
        </w:rPr>
        <w:t>國會不得掏空自治權</w:t>
      </w:r>
    </w:p>
    <w:p w14:paraId="2E485098" w14:textId="77777777" w:rsidR="008637F7" w:rsidRPr="00923C8E" w:rsidRDefault="008637F7" w:rsidP="008637F7">
      <w:pPr>
        <w:pStyle w:val="a3"/>
        <w:ind w:leftChars="0" w:left="2160"/>
        <w:rPr>
          <w:rFonts w:ascii="Times New Roman" w:hAnsi="Times New Roman" w:cs="Times New Roman"/>
        </w:rPr>
      </w:pPr>
    </w:p>
    <w:p w14:paraId="2748A931" w14:textId="77777777" w:rsidR="000227EB" w:rsidRDefault="000227EB" w:rsidP="0035120A">
      <w:pPr>
        <w:pStyle w:val="a3"/>
        <w:numPr>
          <w:ilvl w:val="0"/>
          <w:numId w:val="4"/>
        </w:numPr>
        <w:ind w:leftChars="0"/>
        <w:rPr>
          <w:rFonts w:ascii="Times New Roman" w:hAnsi="Times New Roman" w:cs="Times New Roman"/>
        </w:rPr>
      </w:pPr>
      <w:r w:rsidRPr="00923C8E">
        <w:rPr>
          <w:rFonts w:ascii="Times New Roman" w:hAnsi="Times New Roman" w:cs="Times New Roman"/>
        </w:rPr>
        <w:t>司法審查之限制</w:t>
      </w:r>
    </w:p>
    <w:tbl>
      <w:tblPr>
        <w:tblStyle w:val="ab"/>
        <w:tblW w:w="0" w:type="auto"/>
        <w:tblInd w:w="1440" w:type="dxa"/>
        <w:tblBorders>
          <w:insideH w:val="none" w:sz="0" w:space="0" w:color="auto"/>
          <w:insideV w:val="none" w:sz="0" w:space="0" w:color="auto"/>
        </w:tblBorders>
        <w:tblLook w:val="04A0" w:firstRow="1" w:lastRow="0" w:firstColumn="1" w:lastColumn="0" w:noHBand="0" w:noVBand="1"/>
      </w:tblPr>
      <w:tblGrid>
        <w:gridCol w:w="7076"/>
      </w:tblGrid>
      <w:tr w:rsidR="006C7C0B" w14:paraId="02EF3623" w14:textId="77777777" w:rsidTr="00A017D3">
        <w:tc>
          <w:tcPr>
            <w:tcW w:w="8356" w:type="dxa"/>
          </w:tcPr>
          <w:p w14:paraId="298F8BB4" w14:textId="77777777" w:rsidR="006C7C0B" w:rsidRDefault="006C7C0B" w:rsidP="006C7C0B">
            <w:pPr>
              <w:pStyle w:val="a3"/>
              <w:ind w:leftChars="0" w:left="0"/>
              <w:rPr>
                <w:rFonts w:ascii="Times New Roman" w:hAnsi="Times New Roman" w:cs="Times New Roman"/>
              </w:rPr>
            </w:pPr>
            <w:r>
              <w:rPr>
                <w:rFonts w:ascii="Times New Roman" w:hAnsi="Times New Roman" w:cs="Times New Roman" w:hint="eastAsia"/>
              </w:rPr>
              <w:t>大學自治之餘</w:t>
            </w:r>
            <w:r w:rsidR="008637F7">
              <w:rPr>
                <w:rFonts w:ascii="Times New Roman" w:hAnsi="Times New Roman" w:cs="Times New Roman" w:hint="eastAsia"/>
              </w:rPr>
              <w:t>，尚須</w:t>
            </w:r>
            <w:r>
              <w:rPr>
                <w:rFonts w:ascii="Times New Roman" w:hAnsi="Times New Roman" w:cs="Times New Roman" w:hint="eastAsia"/>
              </w:rPr>
              <w:t>受</w:t>
            </w:r>
            <w:r w:rsidR="008637F7">
              <w:rPr>
                <w:rFonts w:ascii="Times New Roman" w:hAnsi="Times New Roman" w:cs="Times New Roman" w:hint="eastAsia"/>
              </w:rPr>
              <w:t>到</w:t>
            </w:r>
            <w:r w:rsidR="00D52A0E">
              <w:rPr>
                <w:rFonts w:ascii="Times New Roman" w:hAnsi="Times New Roman" w:cs="Times New Roman" w:hint="eastAsia"/>
              </w:rPr>
              <w:t>其他權力機關</w:t>
            </w:r>
            <w:r>
              <w:rPr>
                <w:rFonts w:ascii="Times New Roman" w:hAnsi="Times New Roman" w:cs="Times New Roman" w:hint="eastAsia"/>
              </w:rPr>
              <w:t>的制衡。</w:t>
            </w:r>
          </w:p>
        </w:tc>
      </w:tr>
    </w:tbl>
    <w:p w14:paraId="2DFC839B" w14:textId="77777777" w:rsidR="000227EB" w:rsidRDefault="002665B5" w:rsidP="002665B5">
      <w:pPr>
        <w:pStyle w:val="a3"/>
        <w:numPr>
          <w:ilvl w:val="0"/>
          <w:numId w:val="9"/>
        </w:numPr>
        <w:ind w:leftChars="0"/>
        <w:rPr>
          <w:rFonts w:ascii="Times New Roman" w:hAnsi="Times New Roman" w:cs="Times New Roman"/>
        </w:rPr>
      </w:pPr>
      <w:r w:rsidRPr="00923C8E">
        <w:rPr>
          <w:rFonts w:ascii="Times New Roman" w:hAnsi="Times New Roman" w:cs="Times New Roman"/>
        </w:rPr>
        <w:t>訴訟權之保障</w:t>
      </w:r>
    </w:p>
    <w:tbl>
      <w:tblPr>
        <w:tblStyle w:val="ab"/>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tblGrid>
      <w:tr w:rsidR="00A01BB8" w14:paraId="0A832ACB" w14:textId="77777777" w:rsidTr="00CD61FD">
        <w:tc>
          <w:tcPr>
            <w:tcW w:w="8356" w:type="dxa"/>
          </w:tcPr>
          <w:p w14:paraId="4B518F34" w14:textId="77777777" w:rsidR="00A01BB8" w:rsidRDefault="00A01BB8" w:rsidP="008637F7">
            <w:pPr>
              <w:pStyle w:val="a3"/>
              <w:numPr>
                <w:ilvl w:val="0"/>
                <w:numId w:val="20"/>
              </w:numPr>
              <w:ind w:leftChars="0"/>
              <w:jc w:val="both"/>
              <w:rPr>
                <w:rFonts w:ascii="Times New Roman" w:hAnsi="Times New Roman" w:cs="Times New Roman"/>
              </w:rPr>
            </w:pPr>
            <w:r>
              <w:rPr>
                <w:rFonts w:ascii="Times New Roman" w:hAnsi="Times New Roman" w:cs="Times New Roman" w:hint="eastAsia"/>
              </w:rPr>
              <w:t>釋字第</w:t>
            </w:r>
            <w:r>
              <w:rPr>
                <w:rFonts w:ascii="Times New Roman" w:hAnsi="Times New Roman" w:cs="Times New Roman" w:hint="eastAsia"/>
              </w:rPr>
              <w:t>382</w:t>
            </w:r>
            <w:r>
              <w:rPr>
                <w:rFonts w:ascii="Times New Roman" w:hAnsi="Times New Roman" w:cs="Times New Roman" w:hint="eastAsia"/>
              </w:rPr>
              <w:t>號</w:t>
            </w:r>
            <w:r w:rsidR="008637F7">
              <w:rPr>
                <w:rFonts w:ascii="Times New Roman" w:hAnsi="Times New Roman" w:cs="Times New Roman" w:hint="eastAsia"/>
              </w:rPr>
              <w:t>解釋</w:t>
            </w:r>
            <w:r>
              <w:rPr>
                <w:rFonts w:ascii="Times New Roman" w:hAnsi="Times New Roman" w:cs="Times New Roman" w:hint="eastAsia"/>
              </w:rPr>
              <w:t>：「</w:t>
            </w:r>
            <w:r>
              <w:rPr>
                <w:rFonts w:ascii="Arial" w:hAnsi="Arial" w:cs="Arial"/>
                <w:color w:val="000000"/>
              </w:rPr>
              <w:t>各級學校依有關學籍規則或懲處規定，對學生所為退學或類此</w:t>
            </w:r>
            <w:proofErr w:type="gramStart"/>
            <w:r>
              <w:rPr>
                <w:rFonts w:ascii="Arial" w:hAnsi="Arial" w:cs="Arial"/>
                <w:color w:val="000000"/>
              </w:rPr>
              <w:t>之</w:t>
            </w:r>
            <w:proofErr w:type="gramEnd"/>
            <w:r>
              <w:rPr>
                <w:rFonts w:ascii="Arial" w:hAnsi="Arial" w:cs="Arial"/>
                <w:color w:val="000000"/>
              </w:rPr>
              <w:t>處分行為，足以改變其學生身分並損及其受教育之機會，自屬對人民憲法上受教育之權利有重大影響，此種處分行為應為訴願法及行政訴訟法上之行政處分。受處分之學生於用盡校內申訴途徑，未獲救濟者，自得依法提起訴願及行政訴訟。</w:t>
            </w:r>
            <w:r>
              <w:rPr>
                <w:rFonts w:ascii="Times New Roman" w:hAnsi="Times New Roman" w:cs="Times New Roman" w:hint="eastAsia"/>
              </w:rPr>
              <w:t>」</w:t>
            </w:r>
            <w:r w:rsidR="00820B8A">
              <w:rPr>
                <w:rFonts w:ascii="標楷體" w:eastAsia="標楷體" w:hAnsi="標楷體"/>
                <w:noProof/>
              </w:rPr>
              <w:drawing>
                <wp:inline distT="0" distB="0" distL="0" distR="0" wp14:anchorId="2A5F2C6A" wp14:editId="20379F9F">
                  <wp:extent cx="222636" cy="195005"/>
                  <wp:effectExtent l="0" t="0" r="6350" b="0"/>
                  <wp:docPr id="2" name="圖片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r w:rsidR="008637F7">
              <w:rPr>
                <w:rFonts w:ascii="Times New Roman" w:hAnsi="Times New Roman" w:cs="Times New Roman" w:hint="eastAsia"/>
              </w:rPr>
              <w:t>→得申請救濟之事由：有影響學生</w:t>
            </w:r>
            <w:r w:rsidR="008637F7" w:rsidRPr="008637F7">
              <w:rPr>
                <w:rFonts w:ascii="Times New Roman" w:hAnsi="Times New Roman" w:cs="Times New Roman" w:hint="eastAsia"/>
                <w:b/>
                <w:u w:val="single"/>
              </w:rPr>
              <w:t>身分</w:t>
            </w:r>
            <w:r w:rsidR="008637F7">
              <w:rPr>
                <w:rFonts w:ascii="Times New Roman" w:hAnsi="Times New Roman" w:cs="Times New Roman" w:hint="eastAsia"/>
              </w:rPr>
              <w:t>之事</w:t>
            </w:r>
            <w:r>
              <w:rPr>
                <w:rFonts w:ascii="Times New Roman" w:hAnsi="Times New Roman" w:cs="Times New Roman" w:hint="eastAsia"/>
              </w:rPr>
              <w:t>。</w:t>
            </w:r>
          </w:p>
          <w:p w14:paraId="12EF89B9" w14:textId="77777777" w:rsidR="00A01BB8" w:rsidRPr="008637F7" w:rsidRDefault="00A01BB8" w:rsidP="008637F7">
            <w:pPr>
              <w:pStyle w:val="a3"/>
              <w:numPr>
                <w:ilvl w:val="0"/>
                <w:numId w:val="20"/>
              </w:numPr>
              <w:ind w:leftChars="0"/>
              <w:jc w:val="both"/>
              <w:rPr>
                <w:rFonts w:ascii="Times New Roman" w:hAnsi="Times New Roman" w:cs="Times New Roman"/>
              </w:rPr>
            </w:pPr>
            <w:r w:rsidRPr="008637F7">
              <w:rPr>
                <w:rFonts w:ascii="Times New Roman" w:hAnsi="Times New Roman" w:cs="Times New Roman" w:hint="eastAsia"/>
              </w:rPr>
              <w:t>釋字第</w:t>
            </w:r>
            <w:r w:rsidRPr="008637F7">
              <w:rPr>
                <w:rFonts w:ascii="Times New Roman" w:hAnsi="Times New Roman" w:cs="Times New Roman" w:hint="eastAsia"/>
              </w:rPr>
              <w:t>684</w:t>
            </w:r>
            <w:r w:rsidRPr="008637F7">
              <w:rPr>
                <w:rFonts w:ascii="Times New Roman" w:hAnsi="Times New Roman" w:cs="Times New Roman" w:hint="eastAsia"/>
              </w:rPr>
              <w:t>號解釋：「</w:t>
            </w:r>
            <w:r w:rsidRPr="008637F7">
              <w:rPr>
                <w:rFonts w:ascii="Arial" w:hAnsi="Arial" w:cs="Arial"/>
                <w:color w:val="000000"/>
              </w:rPr>
              <w:t>大學為實現研究學術及培育人才之教育目的或維持學校秩序，對學生所為行政處分或其他公權力措施，如侵害學生受教育權或其他基本權利，即使非屬退學或類此</w:t>
            </w:r>
            <w:proofErr w:type="gramStart"/>
            <w:r w:rsidRPr="008637F7">
              <w:rPr>
                <w:rFonts w:ascii="Arial" w:hAnsi="Arial" w:cs="Arial"/>
                <w:color w:val="000000"/>
              </w:rPr>
              <w:t>之</w:t>
            </w:r>
            <w:proofErr w:type="gramEnd"/>
            <w:r w:rsidRPr="008637F7">
              <w:rPr>
                <w:rFonts w:ascii="Arial" w:hAnsi="Arial" w:cs="Arial"/>
                <w:color w:val="000000"/>
              </w:rPr>
              <w:t>處分，本於憲法第十六條有權利即有救濟之意旨，仍應許權利受侵害之學生提起行政爭</w:t>
            </w:r>
            <w:proofErr w:type="gramStart"/>
            <w:r w:rsidRPr="008637F7">
              <w:rPr>
                <w:rFonts w:ascii="Arial" w:hAnsi="Arial" w:cs="Arial"/>
                <w:color w:val="000000"/>
              </w:rPr>
              <w:t>訟</w:t>
            </w:r>
            <w:proofErr w:type="gramEnd"/>
            <w:r w:rsidRPr="008637F7">
              <w:rPr>
                <w:rFonts w:ascii="Arial" w:hAnsi="Arial" w:cs="Arial"/>
                <w:color w:val="000000"/>
              </w:rPr>
              <w:t>，無特別限制之必要。在此範圍內，本院釋字第三八二號解釋應予變更。</w:t>
            </w:r>
            <w:r w:rsidRPr="008637F7">
              <w:rPr>
                <w:rFonts w:ascii="Times New Roman" w:hAnsi="Times New Roman" w:cs="Times New Roman" w:hint="eastAsia"/>
              </w:rPr>
              <w:t>」</w:t>
            </w:r>
            <w:r w:rsidR="00820B8A">
              <w:rPr>
                <w:rFonts w:ascii="標楷體" w:eastAsia="標楷體" w:hAnsi="標楷體"/>
                <w:noProof/>
              </w:rPr>
              <w:drawing>
                <wp:inline distT="0" distB="0" distL="0" distR="0" wp14:anchorId="10F36AAF" wp14:editId="65507FD5">
                  <wp:extent cx="222636" cy="195005"/>
                  <wp:effectExtent l="0" t="0" r="6350" b="0"/>
                  <wp:docPr id="4" name="圖片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r w:rsidR="008637F7">
              <w:rPr>
                <w:rFonts w:ascii="Times New Roman" w:hAnsi="Times New Roman" w:cs="Times New Roman" w:hint="eastAsia"/>
              </w:rPr>
              <w:t>→放寬得申請救濟之事由</w:t>
            </w:r>
            <w:r w:rsidRPr="008637F7">
              <w:rPr>
                <w:rFonts w:ascii="Times New Roman" w:hAnsi="Times New Roman" w:cs="Times New Roman" w:hint="eastAsia"/>
              </w:rPr>
              <w:t>：影響</w:t>
            </w:r>
            <w:r w:rsidR="008637F7">
              <w:rPr>
                <w:rFonts w:ascii="Times New Roman" w:hAnsi="Times New Roman" w:cs="Times New Roman" w:hint="eastAsia"/>
              </w:rPr>
              <w:t>學生</w:t>
            </w:r>
            <w:r w:rsidRPr="008637F7">
              <w:rPr>
                <w:rFonts w:ascii="Times New Roman" w:hAnsi="Times New Roman" w:cs="Times New Roman" w:hint="eastAsia"/>
                <w:b/>
                <w:u w:val="single"/>
              </w:rPr>
              <w:t>身分及其他權益</w:t>
            </w:r>
            <w:r w:rsidRPr="008637F7">
              <w:rPr>
                <w:rFonts w:ascii="Times New Roman" w:hAnsi="Times New Roman" w:cs="Times New Roman" w:hint="eastAsia"/>
              </w:rPr>
              <w:t>者，皆應許其提起行政爭</w:t>
            </w:r>
            <w:proofErr w:type="gramStart"/>
            <w:r w:rsidRPr="008637F7">
              <w:rPr>
                <w:rFonts w:ascii="Times New Roman" w:hAnsi="Times New Roman" w:cs="Times New Roman" w:hint="eastAsia"/>
              </w:rPr>
              <w:t>訟</w:t>
            </w:r>
            <w:proofErr w:type="gramEnd"/>
            <w:r w:rsidRPr="008637F7">
              <w:rPr>
                <w:rFonts w:ascii="Times New Roman" w:hAnsi="Times New Roman" w:cs="Times New Roman" w:hint="eastAsia"/>
              </w:rPr>
              <w:t>。</w:t>
            </w:r>
          </w:p>
        </w:tc>
      </w:tr>
    </w:tbl>
    <w:p w14:paraId="650D6424" w14:textId="77777777" w:rsidR="00A01BB8" w:rsidRPr="00923C8E" w:rsidRDefault="00A01BB8" w:rsidP="00A01BB8">
      <w:pPr>
        <w:pStyle w:val="a3"/>
        <w:ind w:leftChars="0" w:left="2160"/>
        <w:rPr>
          <w:rFonts w:ascii="Times New Roman" w:hAnsi="Times New Roman" w:cs="Times New Roman"/>
        </w:rPr>
      </w:pPr>
    </w:p>
    <w:p w14:paraId="4DC7B456" w14:textId="77777777" w:rsidR="002665B5" w:rsidRDefault="002665B5" w:rsidP="002665B5">
      <w:pPr>
        <w:pStyle w:val="a3"/>
        <w:numPr>
          <w:ilvl w:val="0"/>
          <w:numId w:val="9"/>
        </w:numPr>
        <w:ind w:leftChars="0"/>
        <w:rPr>
          <w:rFonts w:ascii="Times New Roman" w:hAnsi="Times New Roman" w:cs="Times New Roman"/>
        </w:rPr>
      </w:pPr>
      <w:r w:rsidRPr="00923C8E">
        <w:rPr>
          <w:rFonts w:ascii="Times New Roman" w:hAnsi="Times New Roman" w:cs="Times New Roman"/>
        </w:rPr>
        <w:t>司法審查態度</w:t>
      </w:r>
    </w:p>
    <w:tbl>
      <w:tblPr>
        <w:tblStyle w:val="ab"/>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tblGrid>
      <w:tr w:rsidR="00A01BB8" w14:paraId="207F6CA1" w14:textId="77777777" w:rsidTr="00CD61FD">
        <w:tc>
          <w:tcPr>
            <w:tcW w:w="8356" w:type="dxa"/>
          </w:tcPr>
          <w:p w14:paraId="015E195E" w14:textId="77777777" w:rsidR="00A01BB8" w:rsidRDefault="00A01BB8" w:rsidP="004C0016">
            <w:pPr>
              <w:pStyle w:val="a3"/>
              <w:numPr>
                <w:ilvl w:val="0"/>
                <w:numId w:val="21"/>
              </w:numPr>
              <w:ind w:leftChars="0"/>
              <w:rPr>
                <w:rFonts w:ascii="Times New Roman" w:hAnsi="Times New Roman" w:cs="Times New Roman"/>
              </w:rPr>
            </w:pPr>
            <w:r>
              <w:rPr>
                <w:rFonts w:ascii="Times New Roman" w:hAnsi="Times New Roman" w:cs="Times New Roman" w:hint="eastAsia"/>
              </w:rPr>
              <w:t>寬鬆審查態度：即使法院受理，亦</w:t>
            </w:r>
            <w:r w:rsidR="00541E9E">
              <w:rPr>
                <w:rFonts w:ascii="Times New Roman" w:hAnsi="Times New Roman" w:cs="Times New Roman" w:hint="eastAsia"/>
              </w:rPr>
              <w:t>會</w:t>
            </w:r>
            <w:r>
              <w:rPr>
                <w:rFonts w:ascii="Times New Roman" w:hAnsi="Times New Roman" w:cs="Times New Roman" w:hint="eastAsia"/>
              </w:rPr>
              <w:t>盡量尊重</w:t>
            </w:r>
            <w:r w:rsidR="00541E9E">
              <w:rPr>
                <w:rFonts w:ascii="Times New Roman" w:hAnsi="Times New Roman" w:cs="Times New Roman" w:hint="eastAsia"/>
              </w:rPr>
              <w:t>專業判斷原則，判決上訴人敗訴</w:t>
            </w:r>
            <w:r>
              <w:rPr>
                <w:rFonts w:ascii="Times New Roman" w:hAnsi="Times New Roman" w:cs="Times New Roman" w:hint="eastAsia"/>
              </w:rPr>
              <w:t>。</w:t>
            </w:r>
          </w:p>
          <w:p w14:paraId="11FFE1A0" w14:textId="77777777" w:rsidR="00A01BB8" w:rsidRPr="004C0016" w:rsidRDefault="00A01BB8" w:rsidP="004C0016">
            <w:pPr>
              <w:pStyle w:val="a3"/>
              <w:numPr>
                <w:ilvl w:val="0"/>
                <w:numId w:val="21"/>
              </w:numPr>
              <w:ind w:leftChars="0"/>
              <w:rPr>
                <w:rFonts w:ascii="Times New Roman" w:hAnsi="Times New Roman" w:cs="Times New Roman"/>
              </w:rPr>
            </w:pPr>
            <w:r w:rsidRPr="004C0016">
              <w:rPr>
                <w:rFonts w:ascii="Times New Roman" w:hAnsi="Times New Roman" w:cs="Times New Roman" w:hint="eastAsia"/>
              </w:rPr>
              <w:t>釋字第</w:t>
            </w:r>
            <w:r w:rsidRPr="004C0016">
              <w:rPr>
                <w:rFonts w:ascii="Times New Roman" w:hAnsi="Times New Roman" w:cs="Times New Roman" w:hint="eastAsia"/>
              </w:rPr>
              <w:t>462</w:t>
            </w:r>
            <w:r w:rsidRPr="004C0016">
              <w:rPr>
                <w:rFonts w:ascii="Times New Roman" w:hAnsi="Times New Roman" w:cs="Times New Roman" w:hint="eastAsia"/>
              </w:rPr>
              <w:t>號解釋理由書：「…</w:t>
            </w:r>
            <w:r w:rsidRPr="004C0016">
              <w:rPr>
                <w:rFonts w:ascii="Arial" w:hAnsi="Arial" w:cs="Arial"/>
                <w:color w:val="000000"/>
              </w:rPr>
              <w:t>受理此類事件之行政救濟機關及行政法院自得據以審查其是否遵守相關之程序，</w:t>
            </w:r>
            <w:r w:rsidRPr="004C0016">
              <w:rPr>
                <w:rFonts w:ascii="Arial" w:hAnsi="Arial" w:cs="Arial"/>
                <w:color w:val="000000"/>
              </w:rPr>
              <w:lastRenderedPageBreak/>
              <w:t>或其判斷、評量是否以錯誤之事實為基礎，是否有違一般事理之考量等</w:t>
            </w:r>
            <w:r w:rsidRPr="004C0016">
              <w:rPr>
                <w:rFonts w:ascii="Arial" w:hAnsi="Arial" w:cs="Arial"/>
                <w:b/>
                <w:color w:val="000000"/>
              </w:rPr>
              <w:t>違法</w:t>
            </w:r>
            <w:r w:rsidRPr="004C0016">
              <w:rPr>
                <w:rFonts w:ascii="Arial" w:hAnsi="Arial" w:cs="Arial"/>
                <w:color w:val="000000"/>
              </w:rPr>
              <w:t>或</w:t>
            </w:r>
            <w:r w:rsidRPr="004C0016">
              <w:rPr>
                <w:rFonts w:ascii="Arial" w:hAnsi="Arial" w:cs="Arial"/>
                <w:b/>
                <w:color w:val="000000"/>
              </w:rPr>
              <w:t>顯然不當</w:t>
            </w:r>
            <w:r w:rsidRPr="004C0016">
              <w:rPr>
                <w:rFonts w:ascii="Arial" w:hAnsi="Arial" w:cs="Arial"/>
                <w:color w:val="000000"/>
              </w:rPr>
              <w:t>之情事。</w:t>
            </w:r>
            <w:r w:rsidRPr="004C0016">
              <w:rPr>
                <w:rFonts w:ascii="Arial" w:hAnsi="Arial" w:cs="Arial" w:hint="eastAsia"/>
                <w:color w:val="000000"/>
              </w:rPr>
              <w:t>…</w:t>
            </w:r>
            <w:r w:rsidRPr="004C0016">
              <w:rPr>
                <w:rFonts w:ascii="Times New Roman" w:hAnsi="Times New Roman" w:cs="Times New Roman" w:hint="eastAsia"/>
              </w:rPr>
              <w:t>」</w:t>
            </w:r>
            <w:r w:rsidR="00820B8A">
              <w:rPr>
                <w:rFonts w:ascii="標楷體" w:eastAsia="標楷體" w:hAnsi="標楷體"/>
                <w:noProof/>
              </w:rPr>
              <w:drawing>
                <wp:inline distT="0" distB="0" distL="0" distR="0" wp14:anchorId="5C44FA6D" wp14:editId="5D47FE97">
                  <wp:extent cx="222636" cy="195005"/>
                  <wp:effectExtent l="0" t="0" r="6350" b="0"/>
                  <wp:docPr id="5" name="圖片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r>
    </w:tbl>
    <w:p w14:paraId="53770FA0" w14:textId="77777777" w:rsidR="00A01BB8" w:rsidRPr="00923C8E" w:rsidRDefault="00A01BB8" w:rsidP="00A01BB8">
      <w:pPr>
        <w:pStyle w:val="a3"/>
        <w:ind w:leftChars="0" w:left="2160"/>
        <w:rPr>
          <w:rFonts w:ascii="Times New Roman" w:hAnsi="Times New Roman" w:cs="Times New Roman"/>
        </w:rPr>
      </w:pPr>
    </w:p>
    <w:p w14:paraId="199F58FD" w14:textId="77777777" w:rsidR="007A0310" w:rsidRPr="00923C8E" w:rsidRDefault="007A0310" w:rsidP="007A0310">
      <w:pPr>
        <w:pStyle w:val="a3"/>
        <w:ind w:leftChars="0" w:left="2160"/>
        <w:rPr>
          <w:rFonts w:ascii="Times New Roman" w:hAnsi="Times New Roman" w:cs="Times New Roman"/>
        </w:rPr>
      </w:pPr>
    </w:p>
    <w:p w14:paraId="11259444" w14:textId="77777777" w:rsidR="00F71279" w:rsidRPr="00923C8E" w:rsidRDefault="000227EB" w:rsidP="00F71279">
      <w:pPr>
        <w:pStyle w:val="a3"/>
        <w:numPr>
          <w:ilvl w:val="0"/>
          <w:numId w:val="1"/>
        </w:numPr>
        <w:ind w:leftChars="0"/>
        <w:rPr>
          <w:rFonts w:ascii="Times New Roman" w:hAnsi="Times New Roman" w:cs="Times New Roman"/>
        </w:rPr>
      </w:pPr>
      <w:r w:rsidRPr="00923C8E">
        <w:rPr>
          <w:rFonts w:ascii="Times New Roman" w:hAnsi="Times New Roman" w:cs="Times New Roman"/>
        </w:rPr>
        <w:t>中小學之</w:t>
      </w:r>
      <w:r w:rsidR="00F71279" w:rsidRPr="00923C8E">
        <w:rPr>
          <w:rFonts w:ascii="Times New Roman" w:hAnsi="Times New Roman" w:cs="Times New Roman"/>
        </w:rPr>
        <w:t>自由與自治</w:t>
      </w:r>
    </w:p>
    <w:p w14:paraId="69B5AA93" w14:textId="77777777" w:rsidR="000227EB" w:rsidRPr="00923C8E" w:rsidRDefault="000227EB" w:rsidP="000227EB">
      <w:pPr>
        <w:pStyle w:val="a3"/>
        <w:numPr>
          <w:ilvl w:val="0"/>
          <w:numId w:val="6"/>
        </w:numPr>
        <w:ind w:leftChars="0"/>
        <w:rPr>
          <w:rFonts w:ascii="Times New Roman" w:hAnsi="Times New Roman" w:cs="Times New Roman"/>
        </w:rPr>
      </w:pPr>
      <w:r w:rsidRPr="00923C8E">
        <w:rPr>
          <w:rFonts w:ascii="Times New Roman" w:hAnsi="Times New Roman" w:cs="Times New Roman"/>
        </w:rPr>
        <w:t>中小學之講學自由</w:t>
      </w:r>
    </w:p>
    <w:p w14:paraId="795DBA3E" w14:textId="77777777" w:rsidR="000227EB" w:rsidRDefault="00613C23" w:rsidP="00613C23">
      <w:pPr>
        <w:pStyle w:val="a3"/>
        <w:numPr>
          <w:ilvl w:val="0"/>
          <w:numId w:val="7"/>
        </w:numPr>
        <w:ind w:leftChars="0"/>
        <w:rPr>
          <w:rFonts w:ascii="Times New Roman" w:hAnsi="Times New Roman" w:cs="Times New Roman"/>
        </w:rPr>
      </w:pPr>
      <w:proofErr w:type="gramStart"/>
      <w:r w:rsidRPr="00923C8E">
        <w:rPr>
          <w:rFonts w:ascii="Times New Roman" w:hAnsi="Times New Roman" w:cs="Times New Roman"/>
        </w:rPr>
        <w:t>課綱與</w:t>
      </w:r>
      <w:proofErr w:type="gramEnd"/>
      <w:r w:rsidR="000227EB" w:rsidRPr="00923C8E">
        <w:rPr>
          <w:rFonts w:ascii="Times New Roman" w:hAnsi="Times New Roman" w:cs="Times New Roman"/>
        </w:rPr>
        <w:t>教科書審定制度</w:t>
      </w:r>
    </w:p>
    <w:tbl>
      <w:tblPr>
        <w:tblStyle w:val="ab"/>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tblGrid>
      <w:tr w:rsidR="000F14F2" w14:paraId="4B50CF90" w14:textId="77777777" w:rsidTr="00CD61FD">
        <w:tc>
          <w:tcPr>
            <w:tcW w:w="8356" w:type="dxa"/>
          </w:tcPr>
          <w:p w14:paraId="1BBECB7F" w14:textId="77777777" w:rsidR="0069410E" w:rsidRDefault="00D52A0E" w:rsidP="0069410E">
            <w:pPr>
              <w:pStyle w:val="a3"/>
              <w:numPr>
                <w:ilvl w:val="0"/>
                <w:numId w:val="25"/>
              </w:numPr>
              <w:ind w:leftChars="0"/>
              <w:jc w:val="both"/>
              <w:rPr>
                <w:rFonts w:ascii="Times New Roman" w:hAnsi="Times New Roman" w:cs="Times New Roman"/>
              </w:rPr>
            </w:pPr>
            <w:r>
              <w:rPr>
                <w:rFonts w:ascii="Times New Roman" w:hAnsi="Times New Roman" w:cs="Times New Roman" w:hint="eastAsia"/>
              </w:rPr>
              <w:t>教育部統一訂</w:t>
            </w:r>
            <w:proofErr w:type="gramStart"/>
            <w:r>
              <w:rPr>
                <w:rFonts w:ascii="Times New Roman" w:hAnsi="Times New Roman" w:cs="Times New Roman" w:hint="eastAsia"/>
              </w:rPr>
              <w:t>定課綱</w:t>
            </w:r>
            <w:proofErr w:type="gramEnd"/>
            <w:r>
              <w:rPr>
                <w:rFonts w:ascii="Times New Roman" w:hAnsi="Times New Roman" w:cs="Times New Roman" w:hint="eastAsia"/>
              </w:rPr>
              <w:t>，限制</w:t>
            </w:r>
            <w:r w:rsidR="000F14F2">
              <w:rPr>
                <w:rFonts w:ascii="Times New Roman" w:hAnsi="Times New Roman" w:cs="Times New Roman" w:hint="eastAsia"/>
              </w:rPr>
              <w:t>中小學教學自由有無違憲？</w:t>
            </w:r>
          </w:p>
          <w:p w14:paraId="01917B11" w14:textId="77777777" w:rsidR="0069410E" w:rsidRDefault="0069410E" w:rsidP="0069410E">
            <w:pPr>
              <w:pStyle w:val="a3"/>
              <w:numPr>
                <w:ilvl w:val="0"/>
                <w:numId w:val="26"/>
              </w:numPr>
              <w:ind w:leftChars="0"/>
              <w:jc w:val="both"/>
              <w:rPr>
                <w:rFonts w:ascii="Times New Roman" w:hAnsi="Times New Roman" w:cs="Times New Roman"/>
              </w:rPr>
            </w:pPr>
            <w:r>
              <w:rPr>
                <w:rFonts w:ascii="Times New Roman" w:hAnsi="Times New Roman" w:cs="Times New Roman" w:hint="eastAsia"/>
              </w:rPr>
              <w:t>中小學教育性質：</w:t>
            </w:r>
            <w:r w:rsidRPr="0069410E">
              <w:rPr>
                <w:rFonts w:ascii="Times New Roman" w:hAnsi="Times New Roman" w:cs="Times New Roman" w:hint="eastAsia"/>
              </w:rPr>
              <w:t>為</w:t>
            </w:r>
            <w:r>
              <w:rPr>
                <w:rFonts w:ascii="Times New Roman" w:hAnsi="Times New Roman" w:cs="Times New Roman" w:hint="eastAsia"/>
              </w:rPr>
              <w:t>國民</w:t>
            </w:r>
            <w:r w:rsidRPr="0069410E">
              <w:rPr>
                <w:rFonts w:ascii="Times New Roman" w:hAnsi="Times New Roman" w:cs="Times New Roman" w:hint="eastAsia"/>
              </w:rPr>
              <w:t>教育，</w:t>
            </w:r>
            <w:r w:rsidR="00D52A0E">
              <w:rPr>
                <w:rFonts w:ascii="Times New Roman" w:hAnsi="Times New Roman" w:cs="Times New Roman" w:hint="eastAsia"/>
              </w:rPr>
              <w:t>屬義務教育之一環</w:t>
            </w:r>
            <w:r w:rsidRPr="0069410E">
              <w:rPr>
                <w:rFonts w:ascii="Times New Roman" w:hAnsi="Times New Roman" w:cs="Times New Roman" w:hint="eastAsia"/>
              </w:rPr>
              <w:t>。</w:t>
            </w:r>
          </w:p>
          <w:p w14:paraId="452AE9EE" w14:textId="77777777" w:rsidR="001314DC" w:rsidRDefault="0069410E" w:rsidP="001314DC">
            <w:pPr>
              <w:pStyle w:val="a3"/>
              <w:numPr>
                <w:ilvl w:val="0"/>
                <w:numId w:val="26"/>
              </w:numPr>
              <w:ind w:leftChars="0"/>
              <w:jc w:val="both"/>
              <w:rPr>
                <w:rFonts w:ascii="Times New Roman" w:hAnsi="Times New Roman" w:cs="Times New Roman"/>
              </w:rPr>
            </w:pPr>
            <w:r w:rsidRPr="0069410E">
              <w:rPr>
                <w:rFonts w:ascii="Times New Roman" w:hAnsi="Times New Roman" w:cs="Times New Roman" w:hint="eastAsia"/>
              </w:rPr>
              <w:t>憲法依據</w:t>
            </w:r>
            <w:r>
              <w:rPr>
                <w:rFonts w:ascii="Times New Roman" w:hAnsi="Times New Roman" w:cs="Times New Roman" w:hint="eastAsia"/>
              </w:rPr>
              <w:t>：</w:t>
            </w:r>
          </w:p>
          <w:p w14:paraId="1A5D367E" w14:textId="77777777" w:rsidR="0069410E" w:rsidRDefault="0069410E" w:rsidP="001314DC">
            <w:pPr>
              <w:pStyle w:val="a3"/>
              <w:numPr>
                <w:ilvl w:val="0"/>
                <w:numId w:val="27"/>
              </w:numPr>
              <w:ind w:leftChars="0"/>
              <w:jc w:val="both"/>
              <w:rPr>
                <w:rFonts w:ascii="Times New Roman" w:hAnsi="Times New Roman" w:cs="Times New Roman"/>
              </w:rPr>
            </w:pPr>
            <w:r w:rsidRPr="001314DC">
              <w:rPr>
                <w:rFonts w:ascii="Times New Roman" w:hAnsi="Times New Roman" w:cs="Times New Roman" w:hint="eastAsia"/>
              </w:rPr>
              <w:t>第</w:t>
            </w:r>
            <w:r w:rsidRPr="001314DC">
              <w:rPr>
                <w:rFonts w:ascii="Times New Roman" w:hAnsi="Times New Roman" w:cs="Times New Roman" w:hint="eastAsia"/>
              </w:rPr>
              <w:t>7</w:t>
            </w:r>
            <w:r w:rsidRPr="001314DC">
              <w:rPr>
                <w:rFonts w:ascii="Times New Roman" w:hAnsi="Times New Roman" w:cs="Times New Roman" w:hint="eastAsia"/>
              </w:rPr>
              <w:t>條</w:t>
            </w:r>
            <w:r w:rsidR="001314DC">
              <w:rPr>
                <w:rFonts w:ascii="Times New Roman" w:hAnsi="Times New Roman" w:cs="Times New Roman" w:hint="eastAsia"/>
              </w:rPr>
              <w:t>：「中華民國人民，無分男女、宗教、種族、階級、黨派，在法律上一律平等。」</w:t>
            </w:r>
            <w:r w:rsidR="00A67EB1">
              <w:rPr>
                <w:rFonts w:ascii="標楷體" w:eastAsia="標楷體" w:hAnsi="標楷體"/>
                <w:noProof/>
              </w:rPr>
              <w:drawing>
                <wp:inline distT="0" distB="0" distL="0" distR="0" wp14:anchorId="2DFEBC46" wp14:editId="2089A5F8">
                  <wp:extent cx="222636" cy="195005"/>
                  <wp:effectExtent l="0" t="0" r="6350" b="0"/>
                  <wp:docPr id="9" name="圖片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0500355A" w14:textId="77777777" w:rsidR="001314DC" w:rsidRDefault="001314DC" w:rsidP="001314DC">
            <w:pPr>
              <w:pStyle w:val="a3"/>
              <w:numPr>
                <w:ilvl w:val="0"/>
                <w:numId w:val="27"/>
              </w:numPr>
              <w:ind w:leftChars="0"/>
              <w:jc w:val="both"/>
              <w:rPr>
                <w:rFonts w:ascii="Times New Roman" w:hAnsi="Times New Roman" w:cs="Times New Roman"/>
              </w:rPr>
            </w:pPr>
            <w:r>
              <w:rPr>
                <w:rFonts w:ascii="Times New Roman" w:hAnsi="Times New Roman" w:cs="Times New Roman" w:hint="eastAsia"/>
              </w:rPr>
              <w:t>第</w:t>
            </w:r>
            <w:r>
              <w:rPr>
                <w:rFonts w:ascii="Times New Roman" w:hAnsi="Times New Roman" w:cs="Times New Roman" w:hint="eastAsia"/>
              </w:rPr>
              <w:t>21</w:t>
            </w:r>
            <w:r>
              <w:rPr>
                <w:rFonts w:ascii="Times New Roman" w:hAnsi="Times New Roman" w:cs="Times New Roman" w:hint="eastAsia"/>
              </w:rPr>
              <w:t>條：「</w:t>
            </w:r>
            <w:r>
              <w:rPr>
                <w:rFonts w:hint="eastAsia"/>
              </w:rPr>
              <w:t>人民有受國民教育之權利與義務。</w:t>
            </w:r>
            <w:r>
              <w:rPr>
                <w:rFonts w:ascii="Times New Roman" w:hAnsi="Times New Roman" w:cs="Times New Roman" w:hint="eastAsia"/>
              </w:rPr>
              <w:t>」</w:t>
            </w:r>
            <w:r w:rsidR="00A67EB1">
              <w:rPr>
                <w:rFonts w:ascii="Times New Roman" w:hAnsi="Times New Roman" w:cs="Times New Roman"/>
                <w:noProof/>
              </w:rPr>
              <w:drawing>
                <wp:inline distT="0" distB="0" distL="0" distR="0" wp14:anchorId="5BB0DB15" wp14:editId="2AD1931D">
                  <wp:extent cx="219710" cy="194945"/>
                  <wp:effectExtent l="0" t="0" r="889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194945"/>
                          </a:xfrm>
                          <a:prstGeom prst="rect">
                            <a:avLst/>
                          </a:prstGeom>
                          <a:noFill/>
                        </pic:spPr>
                      </pic:pic>
                    </a:graphicData>
                  </a:graphic>
                </wp:inline>
              </w:drawing>
            </w:r>
          </w:p>
          <w:p w14:paraId="740B6C4C" w14:textId="77777777" w:rsidR="001314DC" w:rsidRDefault="001314DC" w:rsidP="001314DC">
            <w:pPr>
              <w:pStyle w:val="a3"/>
              <w:numPr>
                <w:ilvl w:val="0"/>
                <w:numId w:val="27"/>
              </w:numPr>
              <w:ind w:leftChars="0"/>
              <w:jc w:val="both"/>
              <w:rPr>
                <w:rFonts w:ascii="Times New Roman" w:hAnsi="Times New Roman" w:cs="Times New Roman"/>
              </w:rPr>
            </w:pPr>
            <w:r>
              <w:rPr>
                <w:rFonts w:ascii="Times New Roman" w:hAnsi="Times New Roman" w:cs="Times New Roman" w:hint="eastAsia"/>
              </w:rPr>
              <w:t>第</w:t>
            </w:r>
            <w:r>
              <w:rPr>
                <w:rFonts w:ascii="Times New Roman" w:hAnsi="Times New Roman" w:cs="Times New Roman" w:hint="eastAsia"/>
              </w:rPr>
              <w:t>159</w:t>
            </w:r>
            <w:r>
              <w:rPr>
                <w:rFonts w:ascii="Times New Roman" w:hAnsi="Times New Roman" w:cs="Times New Roman" w:hint="eastAsia"/>
              </w:rPr>
              <w:t>條：「</w:t>
            </w:r>
            <w:r w:rsidRPr="000313E6">
              <w:rPr>
                <w:rFonts w:hint="eastAsia"/>
              </w:rPr>
              <w:t>國民受教育之機會，一律平等。</w:t>
            </w:r>
            <w:r>
              <w:rPr>
                <w:rFonts w:ascii="Times New Roman" w:hAnsi="Times New Roman" w:cs="Times New Roman" w:hint="eastAsia"/>
              </w:rPr>
              <w:t>」</w:t>
            </w:r>
            <w:r w:rsidR="00A67EB1">
              <w:rPr>
                <w:rFonts w:ascii="標楷體" w:eastAsia="標楷體" w:hAnsi="標楷體"/>
                <w:noProof/>
              </w:rPr>
              <w:drawing>
                <wp:inline distT="0" distB="0" distL="0" distR="0" wp14:anchorId="45059B3F" wp14:editId="0321A651">
                  <wp:extent cx="222636" cy="195005"/>
                  <wp:effectExtent l="0" t="0" r="6350" b="0"/>
                  <wp:docPr id="13" name="圖片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75469F0F" w14:textId="77777777" w:rsidR="009E77A8" w:rsidRDefault="009E77A8" w:rsidP="001314DC">
            <w:pPr>
              <w:pStyle w:val="a3"/>
              <w:numPr>
                <w:ilvl w:val="0"/>
                <w:numId w:val="27"/>
              </w:numPr>
              <w:ind w:leftChars="0"/>
              <w:jc w:val="both"/>
              <w:rPr>
                <w:rFonts w:ascii="Times New Roman" w:hAnsi="Times New Roman" w:cs="Times New Roman"/>
              </w:rPr>
            </w:pPr>
            <w:r>
              <w:rPr>
                <w:rFonts w:ascii="Times New Roman" w:hAnsi="Times New Roman" w:cs="Times New Roman" w:hint="eastAsia"/>
              </w:rPr>
              <w:t>第</w:t>
            </w:r>
            <w:r>
              <w:rPr>
                <w:rFonts w:ascii="Times New Roman" w:hAnsi="Times New Roman" w:cs="Times New Roman" w:hint="eastAsia"/>
              </w:rPr>
              <w:t>162</w:t>
            </w:r>
            <w:r>
              <w:rPr>
                <w:rFonts w:ascii="Times New Roman" w:hAnsi="Times New Roman" w:cs="Times New Roman" w:hint="eastAsia"/>
              </w:rPr>
              <w:t>條：「全</w:t>
            </w:r>
            <w:r>
              <w:rPr>
                <w:rFonts w:hint="eastAsia"/>
              </w:rPr>
              <w:t>國公私立之教育文化機關，依法律受國家之監督。</w:t>
            </w:r>
            <w:r>
              <w:rPr>
                <w:rFonts w:ascii="Times New Roman" w:hAnsi="Times New Roman" w:cs="Times New Roman" w:hint="eastAsia"/>
              </w:rPr>
              <w:t>」</w:t>
            </w:r>
            <w:r w:rsidR="00A67EB1">
              <w:rPr>
                <w:rFonts w:ascii="標楷體" w:eastAsia="標楷體" w:hAnsi="標楷體"/>
                <w:noProof/>
              </w:rPr>
              <w:drawing>
                <wp:inline distT="0" distB="0" distL="0" distR="0" wp14:anchorId="3CF63084" wp14:editId="4BB00F8C">
                  <wp:extent cx="222636" cy="195005"/>
                  <wp:effectExtent l="0" t="0" r="6350" b="0"/>
                  <wp:docPr id="14" name="圖片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3151019B" w14:textId="77777777" w:rsidR="00D52A0E" w:rsidRPr="00D52A0E" w:rsidRDefault="00D52A0E" w:rsidP="00D52A0E">
            <w:pPr>
              <w:ind w:left="720"/>
              <w:jc w:val="both"/>
              <w:rPr>
                <w:rFonts w:ascii="Times New Roman" w:hAnsi="Times New Roman" w:cs="Times New Roman"/>
              </w:rPr>
            </w:pPr>
            <w:r w:rsidRPr="00BC47A2">
              <w:rPr>
                <w:rFonts w:ascii="Times New Roman" w:hAnsi="Times New Roman" w:cs="Times New Roman" w:hint="eastAsia"/>
                <w:b/>
              </w:rPr>
              <w:t>→</w:t>
            </w:r>
            <w:r>
              <w:rPr>
                <w:rFonts w:ascii="Times New Roman" w:hAnsi="Times New Roman" w:cs="Times New Roman" w:hint="eastAsia"/>
              </w:rPr>
              <w:t>中小學性質既然是</w:t>
            </w:r>
            <w:r w:rsidRPr="00D52A0E">
              <w:rPr>
                <w:rFonts w:ascii="Times New Roman" w:hAnsi="Times New Roman" w:cs="Times New Roman" w:hint="eastAsia"/>
              </w:rPr>
              <w:t>義務教育</w:t>
            </w:r>
            <w:r>
              <w:rPr>
                <w:rFonts w:ascii="Times New Roman" w:hAnsi="Times New Roman" w:cs="Times New Roman" w:hint="eastAsia"/>
              </w:rPr>
              <w:t>，其施行</w:t>
            </w:r>
            <w:r w:rsidRPr="00D52A0E">
              <w:rPr>
                <w:rFonts w:ascii="Times New Roman" w:hAnsi="Times New Roman" w:cs="Times New Roman" w:hint="eastAsia"/>
              </w:rPr>
              <w:t>應有統一一致性</w:t>
            </w:r>
            <w:r>
              <w:rPr>
                <w:rFonts w:ascii="Times New Roman" w:hAnsi="Times New Roman" w:cs="Times New Roman" w:hint="eastAsia"/>
              </w:rPr>
              <w:t>之教材或標準，方符合上述幾項憲法規定之意旨</w:t>
            </w:r>
            <w:r w:rsidRPr="00D52A0E">
              <w:rPr>
                <w:rFonts w:ascii="Times New Roman" w:hAnsi="Times New Roman" w:cs="Times New Roman" w:hint="eastAsia"/>
              </w:rPr>
              <w:t>。</w:t>
            </w:r>
          </w:p>
          <w:p w14:paraId="0BB7543B" w14:textId="77777777" w:rsidR="0069410E" w:rsidRDefault="001314DC" w:rsidP="0069410E">
            <w:pPr>
              <w:pStyle w:val="a3"/>
              <w:numPr>
                <w:ilvl w:val="0"/>
                <w:numId w:val="26"/>
              </w:numPr>
              <w:ind w:leftChars="0"/>
              <w:jc w:val="both"/>
              <w:rPr>
                <w:rFonts w:ascii="Times New Roman" w:hAnsi="Times New Roman" w:cs="Times New Roman"/>
              </w:rPr>
            </w:pPr>
            <w:r>
              <w:rPr>
                <w:rFonts w:ascii="Times New Roman" w:hAnsi="Times New Roman" w:cs="Times New Roman" w:hint="eastAsia"/>
              </w:rPr>
              <w:t>反思：</w:t>
            </w:r>
            <w:r w:rsidR="0069410E" w:rsidRPr="001314DC">
              <w:rPr>
                <w:rFonts w:ascii="Times New Roman" w:hAnsi="Times New Roman" w:cs="Times New Roman" w:hint="eastAsia"/>
              </w:rPr>
              <w:t>為何平等權可用來支持中小學</w:t>
            </w:r>
            <w:proofErr w:type="gramStart"/>
            <w:r w:rsidR="00BC47A2">
              <w:rPr>
                <w:rFonts w:ascii="Times New Roman" w:hAnsi="Times New Roman" w:cs="Times New Roman" w:hint="eastAsia"/>
              </w:rPr>
              <w:t>的</w:t>
            </w:r>
            <w:r w:rsidR="00D52A0E">
              <w:rPr>
                <w:rFonts w:ascii="Times New Roman" w:hAnsi="Times New Roman" w:cs="Times New Roman" w:hint="eastAsia"/>
              </w:rPr>
              <w:t>課綱</w:t>
            </w:r>
            <w:r w:rsidR="0069410E" w:rsidRPr="001314DC">
              <w:rPr>
                <w:rFonts w:ascii="Times New Roman" w:hAnsi="Times New Roman" w:cs="Times New Roman" w:hint="eastAsia"/>
              </w:rPr>
              <w:t>一致性</w:t>
            </w:r>
            <w:proofErr w:type="gramEnd"/>
            <w:r w:rsidR="00D52A0E">
              <w:rPr>
                <w:rFonts w:ascii="Times New Roman" w:hAnsi="Times New Roman" w:cs="Times New Roman" w:hint="eastAsia"/>
              </w:rPr>
              <w:t>要求</w:t>
            </w:r>
            <w:r w:rsidR="005F4879">
              <w:rPr>
                <w:rFonts w:ascii="Times New Roman" w:hAnsi="Times New Roman" w:cs="Times New Roman" w:hint="eastAsia"/>
              </w:rPr>
              <w:t>，卻</w:t>
            </w:r>
            <w:r w:rsidR="0069410E" w:rsidRPr="001314DC">
              <w:rPr>
                <w:rFonts w:ascii="Times New Roman" w:hAnsi="Times New Roman" w:cs="Times New Roman" w:hint="eastAsia"/>
              </w:rPr>
              <w:t>不</w:t>
            </w:r>
            <w:r w:rsidR="00D52A0E">
              <w:rPr>
                <w:rFonts w:ascii="Times New Roman" w:hAnsi="Times New Roman" w:cs="Times New Roman" w:hint="eastAsia"/>
              </w:rPr>
              <w:t>能同樣以此</w:t>
            </w:r>
            <w:r w:rsidR="005F4879">
              <w:rPr>
                <w:rFonts w:ascii="Times New Roman" w:hAnsi="Times New Roman" w:cs="Times New Roman" w:hint="eastAsia"/>
              </w:rPr>
              <w:t>來</w:t>
            </w:r>
            <w:r w:rsidR="00BC47A2">
              <w:rPr>
                <w:rFonts w:ascii="Times New Roman" w:hAnsi="Times New Roman" w:cs="Times New Roman" w:hint="eastAsia"/>
              </w:rPr>
              <w:t>規範</w:t>
            </w:r>
            <w:r w:rsidR="0069410E" w:rsidRPr="001314DC">
              <w:rPr>
                <w:rFonts w:ascii="Times New Roman" w:hAnsi="Times New Roman" w:cs="Times New Roman" w:hint="eastAsia"/>
              </w:rPr>
              <w:t>大學</w:t>
            </w:r>
            <w:r w:rsidR="00BC47A2">
              <w:rPr>
                <w:rFonts w:ascii="Times New Roman" w:hAnsi="Times New Roman" w:cs="Times New Roman" w:hint="eastAsia"/>
              </w:rPr>
              <w:t>課程呢</w:t>
            </w:r>
            <w:r>
              <w:rPr>
                <w:rFonts w:ascii="Times New Roman" w:hAnsi="Times New Roman" w:cs="Times New Roman" w:hint="eastAsia"/>
              </w:rPr>
              <w:t>？</w:t>
            </w:r>
          </w:p>
          <w:p w14:paraId="13270266" w14:textId="77777777" w:rsidR="001314DC" w:rsidRDefault="00101D08" w:rsidP="00101D08">
            <w:pPr>
              <w:pStyle w:val="a3"/>
              <w:numPr>
                <w:ilvl w:val="0"/>
                <w:numId w:val="29"/>
              </w:numPr>
              <w:ind w:leftChars="0"/>
              <w:jc w:val="both"/>
              <w:rPr>
                <w:rFonts w:ascii="Times New Roman" w:hAnsi="Times New Roman" w:cs="Times New Roman"/>
              </w:rPr>
            </w:pPr>
            <w:r>
              <w:rPr>
                <w:rFonts w:ascii="Times New Roman" w:hAnsi="Times New Roman" w:cs="Times New Roman" w:hint="eastAsia"/>
              </w:rPr>
              <w:t>大學非義務教育。</w:t>
            </w:r>
          </w:p>
          <w:p w14:paraId="5A93C7EA" w14:textId="77777777" w:rsidR="005F4879" w:rsidRDefault="005F4879" w:rsidP="00101D08">
            <w:pPr>
              <w:pStyle w:val="a3"/>
              <w:numPr>
                <w:ilvl w:val="0"/>
                <w:numId w:val="29"/>
              </w:numPr>
              <w:ind w:leftChars="0"/>
              <w:jc w:val="both"/>
              <w:rPr>
                <w:rFonts w:ascii="Times New Roman" w:hAnsi="Times New Roman" w:cs="Times New Roman"/>
              </w:rPr>
            </w:pPr>
            <w:r>
              <w:rPr>
                <w:rFonts w:ascii="Times New Roman" w:hAnsi="Times New Roman" w:cs="Times New Roman" w:hint="eastAsia"/>
              </w:rPr>
              <w:t>大學自治作為制度性保障。</w:t>
            </w:r>
          </w:p>
          <w:p w14:paraId="72693312" w14:textId="77777777" w:rsidR="00101D08" w:rsidRPr="00101D08" w:rsidRDefault="00101D08" w:rsidP="00101D08">
            <w:pPr>
              <w:pStyle w:val="a3"/>
              <w:numPr>
                <w:ilvl w:val="0"/>
                <w:numId w:val="29"/>
              </w:numPr>
              <w:ind w:leftChars="0"/>
              <w:jc w:val="both"/>
              <w:rPr>
                <w:rFonts w:ascii="Times New Roman" w:hAnsi="Times New Roman" w:cs="Times New Roman"/>
              </w:rPr>
            </w:pPr>
            <w:r w:rsidRPr="00101D08">
              <w:rPr>
                <w:rFonts w:ascii="Times New Roman" w:hAnsi="Times New Roman" w:cs="Times New Roman" w:hint="eastAsia"/>
              </w:rPr>
              <w:t>憲法第</w:t>
            </w:r>
            <w:r w:rsidRPr="00101D08">
              <w:rPr>
                <w:rFonts w:ascii="Times New Roman" w:hAnsi="Times New Roman" w:cs="Times New Roman" w:hint="eastAsia"/>
              </w:rPr>
              <w:t>11</w:t>
            </w:r>
            <w:r w:rsidRPr="00101D08">
              <w:rPr>
                <w:rFonts w:ascii="Times New Roman" w:hAnsi="Times New Roman" w:cs="Times New Roman" w:hint="eastAsia"/>
              </w:rPr>
              <w:t>條講學自由</w:t>
            </w:r>
            <w:r>
              <w:rPr>
                <w:rFonts w:ascii="Times New Roman" w:hAnsi="Times New Roman" w:cs="Times New Roman" w:hint="eastAsia"/>
              </w:rPr>
              <w:t>。</w:t>
            </w:r>
          </w:p>
          <w:p w14:paraId="48D93C4A" w14:textId="77777777" w:rsidR="0069410E" w:rsidRPr="0069410E" w:rsidRDefault="00D52A0E" w:rsidP="0069410E">
            <w:pPr>
              <w:pStyle w:val="a3"/>
              <w:numPr>
                <w:ilvl w:val="0"/>
                <w:numId w:val="25"/>
              </w:numPr>
              <w:ind w:leftChars="0"/>
              <w:jc w:val="both"/>
              <w:rPr>
                <w:rFonts w:ascii="Times New Roman" w:hAnsi="Times New Roman" w:cs="Times New Roman"/>
              </w:rPr>
            </w:pPr>
            <w:r>
              <w:rPr>
                <w:rFonts w:ascii="Times New Roman" w:hAnsi="Times New Roman" w:cs="Times New Roman" w:hint="eastAsia"/>
              </w:rPr>
              <w:t>由教育部審定</w:t>
            </w:r>
            <w:r w:rsidR="005F4879">
              <w:rPr>
                <w:rFonts w:ascii="Times New Roman" w:hAnsi="Times New Roman" w:cs="Times New Roman" w:hint="eastAsia"/>
              </w:rPr>
              <w:t>教科書制度是否</w:t>
            </w:r>
            <w:r w:rsidR="0069410E" w:rsidRPr="0069410E">
              <w:rPr>
                <w:rFonts w:ascii="Times New Roman" w:hAnsi="Times New Roman" w:cs="Times New Roman" w:hint="eastAsia"/>
              </w:rPr>
              <w:t>限制人民的出版自由，而有違憲之虞？</w:t>
            </w:r>
          </w:p>
          <w:p w14:paraId="50EABB5F" w14:textId="77777777" w:rsidR="009E77A8" w:rsidRPr="009E77A8" w:rsidRDefault="005F4879" w:rsidP="009E77A8">
            <w:pPr>
              <w:pStyle w:val="a3"/>
              <w:numPr>
                <w:ilvl w:val="0"/>
                <w:numId w:val="28"/>
              </w:numPr>
              <w:ind w:leftChars="0"/>
              <w:jc w:val="both"/>
              <w:rPr>
                <w:rFonts w:ascii="Times New Roman" w:hAnsi="Times New Roman" w:cs="Times New Roman"/>
              </w:rPr>
            </w:pPr>
            <w:r>
              <w:rPr>
                <w:rFonts w:ascii="Times New Roman" w:hAnsi="Times New Roman" w:cs="Times New Roman" w:hint="eastAsia"/>
              </w:rPr>
              <w:t>審查態度：高價值言論＋事前審查→</w:t>
            </w:r>
            <w:r w:rsidR="001314DC">
              <w:rPr>
                <w:rFonts w:ascii="Times New Roman" w:hAnsi="Times New Roman" w:cs="Times New Roman" w:hint="eastAsia"/>
              </w:rPr>
              <w:t>應採取嚴格審查</w:t>
            </w:r>
            <w:r>
              <w:rPr>
                <w:rFonts w:ascii="Times New Roman" w:hAnsi="Times New Roman" w:cs="Times New Roman" w:hint="eastAsia"/>
              </w:rPr>
              <w:t>的</w:t>
            </w:r>
            <w:r w:rsidR="001314DC">
              <w:rPr>
                <w:rFonts w:ascii="Times New Roman" w:hAnsi="Times New Roman" w:cs="Times New Roman" w:hint="eastAsia"/>
              </w:rPr>
              <w:t>態度。</w:t>
            </w:r>
          </w:p>
          <w:p w14:paraId="58231935" w14:textId="77777777" w:rsidR="001314DC" w:rsidRPr="009E77A8" w:rsidRDefault="00E01A84" w:rsidP="009E77A8">
            <w:pPr>
              <w:pStyle w:val="a3"/>
              <w:numPr>
                <w:ilvl w:val="0"/>
                <w:numId w:val="28"/>
              </w:numPr>
              <w:ind w:leftChars="0"/>
              <w:jc w:val="both"/>
              <w:rPr>
                <w:rFonts w:ascii="Times New Roman" w:hAnsi="Times New Roman" w:cs="Times New Roman"/>
              </w:rPr>
            </w:pPr>
            <w:r>
              <w:rPr>
                <w:rFonts w:ascii="Times New Roman" w:hAnsi="Times New Roman" w:cs="Times New Roman" w:hint="eastAsia"/>
              </w:rPr>
              <w:t>然</w:t>
            </w:r>
            <w:r w:rsidR="009E77A8">
              <w:rPr>
                <w:rFonts w:ascii="Times New Roman" w:hAnsi="Times New Roman" w:cs="Times New Roman" w:hint="eastAsia"/>
              </w:rPr>
              <w:t>此處並</w:t>
            </w:r>
            <w:r w:rsidR="005F4879">
              <w:rPr>
                <w:rFonts w:ascii="Times New Roman" w:hAnsi="Times New Roman" w:cs="Times New Roman" w:hint="eastAsia"/>
              </w:rPr>
              <w:t>未（直接）限制人民的出版及言論</w:t>
            </w:r>
            <w:r w:rsidR="001314DC">
              <w:rPr>
                <w:rFonts w:ascii="Times New Roman" w:hAnsi="Times New Roman" w:cs="Times New Roman" w:hint="eastAsia"/>
              </w:rPr>
              <w:t>自由。</w:t>
            </w:r>
            <w:r w:rsidR="005F4879">
              <w:rPr>
                <w:rFonts w:ascii="Times New Roman" w:hAnsi="Times New Roman" w:cs="Times New Roman" w:hint="eastAsia"/>
              </w:rPr>
              <w:t>相反地，以</w:t>
            </w:r>
            <w:r w:rsidR="001314DC" w:rsidRPr="009E77A8">
              <w:rPr>
                <w:rFonts w:ascii="Times New Roman" w:hAnsi="Times New Roman" w:cs="Times New Roman" w:hint="eastAsia"/>
              </w:rPr>
              <w:t>國民教育</w:t>
            </w:r>
            <w:r w:rsidR="005F4879">
              <w:rPr>
                <w:rFonts w:ascii="Times New Roman" w:hAnsi="Times New Roman" w:cs="Times New Roman" w:hint="eastAsia"/>
              </w:rPr>
              <w:t>（義務教育）</w:t>
            </w:r>
            <w:r w:rsidR="001314DC" w:rsidRPr="009E77A8">
              <w:rPr>
                <w:rFonts w:ascii="Times New Roman" w:hAnsi="Times New Roman" w:cs="Times New Roman" w:hint="eastAsia"/>
              </w:rPr>
              <w:t>角度支持國家介入、合法規範教科書，較可</w:t>
            </w:r>
            <w:r w:rsidR="005F4879">
              <w:rPr>
                <w:rFonts w:ascii="Times New Roman" w:hAnsi="Times New Roman" w:cs="Times New Roman" w:hint="eastAsia"/>
              </w:rPr>
              <w:t>在憲法上找到堅實的</w:t>
            </w:r>
            <w:r w:rsidR="001314DC" w:rsidRPr="009E77A8">
              <w:rPr>
                <w:rFonts w:ascii="Times New Roman" w:hAnsi="Times New Roman" w:cs="Times New Roman" w:hint="eastAsia"/>
              </w:rPr>
              <w:t>理由。</w:t>
            </w:r>
          </w:p>
          <w:p w14:paraId="558ADD18" w14:textId="77777777" w:rsidR="000313E6" w:rsidRPr="005F4879" w:rsidRDefault="00E01A84" w:rsidP="005F4879">
            <w:pPr>
              <w:pStyle w:val="a3"/>
              <w:numPr>
                <w:ilvl w:val="0"/>
                <w:numId w:val="28"/>
              </w:numPr>
              <w:ind w:leftChars="0"/>
              <w:jc w:val="both"/>
              <w:rPr>
                <w:rFonts w:ascii="Times New Roman" w:hAnsi="Times New Roman" w:cs="Times New Roman"/>
              </w:rPr>
            </w:pPr>
            <w:r>
              <w:rPr>
                <w:rFonts w:ascii="Times New Roman" w:hAnsi="Times New Roman" w:cs="Times New Roman" w:hint="eastAsia"/>
              </w:rPr>
              <w:t>教科書審定制度就算可支持其合憲性</w:t>
            </w:r>
            <w:r w:rsidR="005F4879">
              <w:rPr>
                <w:rFonts w:ascii="Times New Roman" w:hAnsi="Times New Roman" w:cs="Times New Roman" w:hint="eastAsia"/>
              </w:rPr>
              <w:t>，</w:t>
            </w:r>
            <w:r>
              <w:rPr>
                <w:rFonts w:ascii="Times New Roman" w:hAnsi="Times New Roman" w:cs="Times New Roman" w:hint="eastAsia"/>
              </w:rPr>
              <w:t>但也要嚴格檢視</w:t>
            </w:r>
            <w:r w:rsidR="005F4879">
              <w:rPr>
                <w:rFonts w:ascii="Times New Roman" w:hAnsi="Times New Roman" w:cs="Times New Roman" w:hint="eastAsia"/>
              </w:rPr>
              <w:t>審查制度</w:t>
            </w:r>
            <w:r>
              <w:rPr>
                <w:rFonts w:ascii="Times New Roman" w:hAnsi="Times New Roman" w:cs="Times New Roman" w:hint="eastAsia"/>
              </w:rPr>
              <w:t>是否</w:t>
            </w:r>
            <w:r w:rsidR="005F4879">
              <w:rPr>
                <w:rFonts w:ascii="Times New Roman" w:hAnsi="Times New Roman" w:cs="Times New Roman" w:hint="eastAsia"/>
              </w:rPr>
              <w:t>健全運作。</w:t>
            </w:r>
            <w:r>
              <w:rPr>
                <w:rFonts w:ascii="Times New Roman" w:hAnsi="Times New Roman" w:cs="Times New Roman" w:hint="eastAsia"/>
              </w:rPr>
              <w:t>於此，</w:t>
            </w:r>
            <w:r w:rsidR="005F4879">
              <w:rPr>
                <w:rFonts w:ascii="Times New Roman" w:hAnsi="Times New Roman" w:cs="Times New Roman" w:hint="eastAsia"/>
              </w:rPr>
              <w:t>立法者應明確訂定</w:t>
            </w:r>
            <w:r w:rsidR="005F4879">
              <w:rPr>
                <w:rFonts w:ascii="Times New Roman" w:hAnsi="Times New Roman" w:cs="Times New Roman" w:hint="eastAsia"/>
              </w:rPr>
              <w:lastRenderedPageBreak/>
              <w:t>審查權範圍，使審查權的行使受到一定的規範與限制。</w:t>
            </w:r>
          </w:p>
        </w:tc>
      </w:tr>
    </w:tbl>
    <w:p w14:paraId="13E3BB0D" w14:textId="77777777" w:rsidR="00CD61FD" w:rsidRDefault="00CD61FD" w:rsidP="00CD61FD">
      <w:pPr>
        <w:pStyle w:val="a3"/>
        <w:ind w:leftChars="0" w:left="2160"/>
        <w:rPr>
          <w:rFonts w:ascii="Times New Roman" w:hAnsi="Times New Roman" w:cs="Times New Roman"/>
        </w:rPr>
      </w:pPr>
    </w:p>
    <w:p w14:paraId="7637AC17" w14:textId="77777777" w:rsidR="00613C23" w:rsidRDefault="00613C23" w:rsidP="00613C23">
      <w:pPr>
        <w:pStyle w:val="a3"/>
        <w:numPr>
          <w:ilvl w:val="0"/>
          <w:numId w:val="7"/>
        </w:numPr>
        <w:ind w:leftChars="0"/>
        <w:rPr>
          <w:rFonts w:ascii="Times New Roman" w:hAnsi="Times New Roman" w:cs="Times New Roman"/>
        </w:rPr>
      </w:pPr>
      <w:r w:rsidRPr="00923C8E">
        <w:rPr>
          <w:rFonts w:ascii="Times New Roman" w:hAnsi="Times New Roman" w:cs="Times New Roman"/>
        </w:rPr>
        <w:t>教師之教學自由</w:t>
      </w:r>
    </w:p>
    <w:tbl>
      <w:tblPr>
        <w:tblStyle w:val="ab"/>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tblGrid>
      <w:tr w:rsidR="009E77A8" w14:paraId="1CBD4389" w14:textId="77777777" w:rsidTr="00CD61FD">
        <w:tc>
          <w:tcPr>
            <w:tcW w:w="8356" w:type="dxa"/>
          </w:tcPr>
          <w:p w14:paraId="50D1D3F5" w14:textId="77777777" w:rsidR="009E77A8" w:rsidRDefault="005F4879" w:rsidP="005F4879">
            <w:pPr>
              <w:pStyle w:val="a3"/>
              <w:ind w:leftChars="0" w:left="0"/>
              <w:rPr>
                <w:rFonts w:ascii="Times New Roman" w:hAnsi="Times New Roman" w:cs="Times New Roman"/>
              </w:rPr>
            </w:pPr>
            <w:proofErr w:type="gramStart"/>
            <w:r>
              <w:rPr>
                <w:rFonts w:ascii="Times New Roman" w:hAnsi="Times New Roman" w:cs="Times New Roman" w:hint="eastAsia"/>
              </w:rPr>
              <w:t>前述</w:t>
            </w:r>
            <w:r w:rsidR="009E77A8">
              <w:rPr>
                <w:rFonts w:ascii="Times New Roman" w:hAnsi="Times New Roman" w:cs="Times New Roman" w:hint="eastAsia"/>
              </w:rPr>
              <w:t>課綱與</w:t>
            </w:r>
            <w:proofErr w:type="gramEnd"/>
            <w:r w:rsidR="009E77A8">
              <w:rPr>
                <w:rFonts w:ascii="Times New Roman" w:hAnsi="Times New Roman" w:cs="Times New Roman" w:hint="eastAsia"/>
              </w:rPr>
              <w:t>教科書</w:t>
            </w:r>
            <w:r>
              <w:rPr>
                <w:rFonts w:ascii="Times New Roman" w:hAnsi="Times New Roman" w:cs="Times New Roman" w:hint="eastAsia"/>
              </w:rPr>
              <w:t>既</w:t>
            </w:r>
            <w:r w:rsidR="009E77A8">
              <w:rPr>
                <w:rFonts w:ascii="Times New Roman" w:hAnsi="Times New Roman" w:cs="Times New Roman" w:hint="eastAsia"/>
              </w:rPr>
              <w:t>已存在一定</w:t>
            </w:r>
            <w:r>
              <w:rPr>
                <w:rFonts w:ascii="Times New Roman" w:hAnsi="Times New Roman" w:cs="Times New Roman" w:hint="eastAsia"/>
              </w:rPr>
              <w:t>之</w:t>
            </w:r>
            <w:r w:rsidR="009E77A8">
              <w:rPr>
                <w:rFonts w:ascii="Times New Roman" w:hAnsi="Times New Roman" w:cs="Times New Roman" w:hint="eastAsia"/>
              </w:rPr>
              <w:t>框架，則</w:t>
            </w:r>
            <w:r>
              <w:rPr>
                <w:rFonts w:ascii="Times New Roman" w:hAnsi="Times New Roman" w:cs="Times New Roman" w:hint="eastAsia"/>
              </w:rPr>
              <w:t>教師之教學自由某種程度</w:t>
            </w:r>
            <w:r w:rsidR="00E01A84">
              <w:rPr>
                <w:rFonts w:ascii="Times New Roman" w:hAnsi="Times New Roman" w:cs="Times New Roman" w:hint="eastAsia"/>
              </w:rPr>
              <w:t>上</w:t>
            </w:r>
            <w:r>
              <w:rPr>
                <w:rFonts w:ascii="Times New Roman" w:hAnsi="Times New Roman" w:cs="Times New Roman" w:hint="eastAsia"/>
              </w:rPr>
              <w:t>亦將受到限制。若教</w:t>
            </w:r>
            <w:r w:rsidR="009E77A8">
              <w:rPr>
                <w:rFonts w:ascii="Times New Roman" w:hAnsi="Times New Roman" w:cs="Times New Roman" w:hint="eastAsia"/>
              </w:rPr>
              <w:t>師無視</w:t>
            </w:r>
            <w:r>
              <w:rPr>
                <w:rFonts w:ascii="Times New Roman" w:hAnsi="Times New Roman" w:cs="Times New Roman" w:hint="eastAsia"/>
              </w:rPr>
              <w:t>統一</w:t>
            </w:r>
            <w:proofErr w:type="gramStart"/>
            <w:r>
              <w:rPr>
                <w:rFonts w:ascii="Times New Roman" w:hAnsi="Times New Roman" w:cs="Times New Roman" w:hint="eastAsia"/>
              </w:rPr>
              <w:t>之課綱與</w:t>
            </w:r>
            <w:proofErr w:type="gramEnd"/>
            <w:r>
              <w:rPr>
                <w:rFonts w:ascii="Times New Roman" w:hAnsi="Times New Roman" w:cs="Times New Roman" w:hint="eastAsia"/>
              </w:rPr>
              <w:t>教科書的存在，一味主張自己的教學自由，恐有違反平等的</w:t>
            </w:r>
            <w:r w:rsidR="00E01A84">
              <w:rPr>
                <w:rFonts w:ascii="Times New Roman" w:hAnsi="Times New Roman" w:cs="Times New Roman" w:hint="eastAsia"/>
              </w:rPr>
              <w:t>受教育義務</w:t>
            </w:r>
            <w:r w:rsidR="009E77A8">
              <w:rPr>
                <w:rFonts w:ascii="Times New Roman" w:hAnsi="Times New Roman" w:cs="Times New Roman" w:hint="eastAsia"/>
              </w:rPr>
              <w:t>之虞。</w:t>
            </w:r>
            <w:proofErr w:type="gramStart"/>
            <w:r>
              <w:rPr>
                <w:rFonts w:ascii="Times New Roman" w:hAnsi="Times New Roman" w:cs="Times New Roman" w:hint="eastAsia"/>
              </w:rPr>
              <w:t>惟</w:t>
            </w:r>
            <w:proofErr w:type="gramEnd"/>
            <w:r>
              <w:rPr>
                <w:rFonts w:ascii="Times New Roman" w:hAnsi="Times New Roman" w:cs="Times New Roman" w:hint="eastAsia"/>
              </w:rPr>
              <w:t>教師</w:t>
            </w:r>
            <w:r w:rsidR="00E01A84">
              <w:rPr>
                <w:rFonts w:ascii="Times New Roman" w:hAnsi="Times New Roman" w:cs="Times New Roman" w:hint="eastAsia"/>
              </w:rPr>
              <w:t>在不涉及任意</w:t>
            </w:r>
            <w:proofErr w:type="gramStart"/>
            <w:r w:rsidR="00E01A84">
              <w:rPr>
                <w:rFonts w:ascii="Times New Roman" w:hAnsi="Times New Roman" w:cs="Times New Roman" w:hint="eastAsia"/>
              </w:rPr>
              <w:t>更動課綱與</w:t>
            </w:r>
            <w:proofErr w:type="gramEnd"/>
            <w:r w:rsidR="00E01A84">
              <w:rPr>
                <w:rFonts w:ascii="Times New Roman" w:hAnsi="Times New Roman" w:cs="Times New Roman" w:hint="eastAsia"/>
              </w:rPr>
              <w:t>教科書內容</w:t>
            </w:r>
            <w:r w:rsidR="009E77A8">
              <w:rPr>
                <w:rFonts w:ascii="Times New Roman" w:hAnsi="Times New Roman" w:cs="Times New Roman" w:hint="eastAsia"/>
              </w:rPr>
              <w:t>之前提下，</w:t>
            </w:r>
            <w:r>
              <w:rPr>
                <w:rFonts w:ascii="Times New Roman" w:hAnsi="Times New Roman" w:cs="Times New Roman" w:hint="eastAsia"/>
              </w:rPr>
              <w:t>以</w:t>
            </w:r>
            <w:r w:rsidR="009E77A8">
              <w:rPr>
                <w:rFonts w:ascii="Times New Roman" w:hAnsi="Times New Roman" w:cs="Times New Roman" w:hint="eastAsia"/>
              </w:rPr>
              <w:t>多元的教學方式</w:t>
            </w:r>
            <w:r>
              <w:rPr>
                <w:rFonts w:ascii="Times New Roman" w:hAnsi="Times New Roman" w:cs="Times New Roman" w:hint="eastAsia"/>
              </w:rPr>
              <w:t>來</w:t>
            </w:r>
            <w:r w:rsidR="00A12548">
              <w:rPr>
                <w:rFonts w:ascii="Times New Roman" w:hAnsi="Times New Roman" w:cs="Times New Roman" w:hint="eastAsia"/>
              </w:rPr>
              <w:t>講</w:t>
            </w:r>
            <w:r>
              <w:rPr>
                <w:rFonts w:ascii="Times New Roman" w:hAnsi="Times New Roman" w:cs="Times New Roman" w:hint="eastAsia"/>
              </w:rPr>
              <w:t>授課程</w:t>
            </w:r>
            <w:r w:rsidR="00A12548">
              <w:rPr>
                <w:rFonts w:ascii="Times New Roman" w:hAnsi="Times New Roman" w:cs="Times New Roman" w:hint="eastAsia"/>
              </w:rPr>
              <w:t>內容，則尚在許可之範圍</w:t>
            </w:r>
            <w:r w:rsidR="009E77A8">
              <w:rPr>
                <w:rFonts w:ascii="Times New Roman" w:hAnsi="Times New Roman" w:cs="Times New Roman" w:hint="eastAsia"/>
              </w:rPr>
              <w:t>。</w:t>
            </w:r>
          </w:p>
        </w:tc>
      </w:tr>
    </w:tbl>
    <w:p w14:paraId="23D496F8" w14:textId="77777777" w:rsidR="009E77A8" w:rsidRPr="00923C8E" w:rsidRDefault="009E77A8" w:rsidP="009E77A8">
      <w:pPr>
        <w:pStyle w:val="a3"/>
        <w:ind w:leftChars="0" w:left="2160"/>
        <w:rPr>
          <w:rFonts w:ascii="Times New Roman" w:hAnsi="Times New Roman" w:cs="Times New Roman"/>
        </w:rPr>
      </w:pPr>
    </w:p>
    <w:p w14:paraId="2DB0646A" w14:textId="77777777" w:rsidR="000227EB" w:rsidRPr="00923C8E" w:rsidRDefault="000227EB" w:rsidP="000227EB">
      <w:pPr>
        <w:pStyle w:val="a3"/>
        <w:numPr>
          <w:ilvl w:val="0"/>
          <w:numId w:val="6"/>
        </w:numPr>
        <w:ind w:leftChars="0"/>
        <w:rPr>
          <w:rFonts w:ascii="Times New Roman" w:hAnsi="Times New Roman" w:cs="Times New Roman"/>
        </w:rPr>
      </w:pPr>
      <w:r w:rsidRPr="00923C8E">
        <w:rPr>
          <w:rFonts w:ascii="Times New Roman" w:hAnsi="Times New Roman" w:cs="Times New Roman"/>
        </w:rPr>
        <w:t>中小學之學校自治</w:t>
      </w:r>
    </w:p>
    <w:p w14:paraId="6308F273" w14:textId="77777777" w:rsidR="00613C23" w:rsidRDefault="00613C23" w:rsidP="00613C23">
      <w:pPr>
        <w:pStyle w:val="a3"/>
        <w:numPr>
          <w:ilvl w:val="0"/>
          <w:numId w:val="8"/>
        </w:numPr>
        <w:ind w:leftChars="0"/>
        <w:rPr>
          <w:rFonts w:ascii="Times New Roman" w:hAnsi="Times New Roman" w:cs="Times New Roman"/>
        </w:rPr>
      </w:pPr>
      <w:r w:rsidRPr="00923C8E">
        <w:rPr>
          <w:rFonts w:ascii="Times New Roman" w:hAnsi="Times New Roman" w:cs="Times New Roman"/>
        </w:rPr>
        <w:t>組織權</w:t>
      </w:r>
    </w:p>
    <w:tbl>
      <w:tblPr>
        <w:tblStyle w:val="ab"/>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tblGrid>
      <w:tr w:rsidR="009E77A8" w14:paraId="5B8A146F" w14:textId="77777777" w:rsidTr="00CD61FD">
        <w:tc>
          <w:tcPr>
            <w:tcW w:w="8356" w:type="dxa"/>
          </w:tcPr>
          <w:p w14:paraId="694A0B9A" w14:textId="77777777" w:rsidR="00B959C0" w:rsidRPr="00B959C0" w:rsidRDefault="009E77A8" w:rsidP="00B959C0">
            <w:pPr>
              <w:jc w:val="both"/>
              <w:rPr>
                <w:rFonts w:ascii="Times New Roman" w:hAnsi="Times New Roman" w:cs="Times New Roman"/>
              </w:rPr>
            </w:pPr>
            <w:r w:rsidRPr="00B959C0">
              <w:rPr>
                <w:rFonts w:ascii="Times New Roman" w:hAnsi="Times New Roman" w:cs="Times New Roman" w:hint="eastAsia"/>
              </w:rPr>
              <w:t>中小學可否</w:t>
            </w:r>
            <w:r w:rsidR="00B959C0">
              <w:rPr>
                <w:rFonts w:ascii="Times New Roman" w:hAnsi="Times New Roman" w:cs="Times New Roman" w:hint="eastAsia"/>
              </w:rPr>
              <w:t>施行</w:t>
            </w:r>
            <w:r w:rsidR="00791C42">
              <w:rPr>
                <w:rFonts w:ascii="Times New Roman" w:hAnsi="Times New Roman" w:cs="Times New Roman" w:hint="eastAsia"/>
              </w:rPr>
              <w:t>能力分班？教育部硬性規定</w:t>
            </w:r>
            <w:r w:rsidR="00B959C0">
              <w:rPr>
                <w:rFonts w:ascii="Times New Roman" w:hAnsi="Times New Roman" w:cs="Times New Roman" w:hint="eastAsia"/>
              </w:rPr>
              <w:t>各中小學</w:t>
            </w:r>
            <w:r w:rsidRPr="00B959C0">
              <w:rPr>
                <w:rFonts w:ascii="Times New Roman" w:hAnsi="Times New Roman" w:cs="Times New Roman" w:hint="eastAsia"/>
              </w:rPr>
              <w:t>常態分班</w:t>
            </w:r>
            <w:r w:rsidR="00B959C0">
              <w:rPr>
                <w:rFonts w:ascii="Times New Roman" w:hAnsi="Times New Roman" w:cs="Times New Roman" w:hint="eastAsia"/>
              </w:rPr>
              <w:t>是否侵害</w:t>
            </w:r>
            <w:r w:rsidRPr="00B959C0">
              <w:rPr>
                <w:rFonts w:ascii="Times New Roman" w:hAnsi="Times New Roman" w:cs="Times New Roman" w:hint="eastAsia"/>
              </w:rPr>
              <w:t>人民</w:t>
            </w:r>
            <w:r w:rsidR="00B959C0">
              <w:rPr>
                <w:rFonts w:ascii="Times New Roman" w:hAnsi="Times New Roman" w:cs="Times New Roman" w:hint="eastAsia"/>
              </w:rPr>
              <w:t>之受教</w:t>
            </w:r>
            <w:r w:rsidRPr="00B959C0">
              <w:rPr>
                <w:rFonts w:ascii="Times New Roman" w:hAnsi="Times New Roman" w:cs="Times New Roman" w:hint="eastAsia"/>
              </w:rPr>
              <w:t>權？</w:t>
            </w:r>
          </w:p>
          <w:p w14:paraId="58AC0D61" w14:textId="77777777" w:rsidR="009E77A8" w:rsidRPr="00B959C0" w:rsidRDefault="00B959C0" w:rsidP="00B959C0">
            <w:pPr>
              <w:jc w:val="both"/>
              <w:rPr>
                <w:rFonts w:ascii="Times New Roman" w:hAnsi="Times New Roman" w:cs="Times New Roman"/>
              </w:rPr>
            </w:pPr>
            <w:r>
              <w:rPr>
                <w:rFonts w:ascii="Times New Roman" w:hAnsi="Times New Roman" w:cs="Times New Roman" w:hint="eastAsia"/>
                <w:bdr w:val="single" w:sz="4" w:space="0" w:color="auto"/>
              </w:rPr>
              <w:t>思考點</w:t>
            </w:r>
            <w:r w:rsidRPr="00B959C0">
              <w:rPr>
                <w:rFonts w:ascii="Times New Roman" w:hAnsi="Times New Roman" w:cs="Times New Roman" w:hint="eastAsia"/>
              </w:rPr>
              <w:t>：</w:t>
            </w:r>
            <w:r w:rsidR="009E77A8" w:rsidRPr="00B959C0">
              <w:rPr>
                <w:rFonts w:ascii="Times New Roman" w:hAnsi="Times New Roman" w:cs="Times New Roman" w:hint="eastAsia"/>
              </w:rPr>
              <w:t>同樣可從</w:t>
            </w:r>
            <w:r w:rsidR="00791C42">
              <w:rPr>
                <w:rFonts w:ascii="Times New Roman" w:hAnsi="Times New Roman" w:cs="Times New Roman" w:hint="eastAsia"/>
              </w:rPr>
              <w:t>國民義務教育和</w:t>
            </w:r>
            <w:r w:rsidR="009E77A8" w:rsidRPr="00B959C0">
              <w:rPr>
                <w:rFonts w:ascii="Times New Roman" w:hAnsi="Times New Roman" w:cs="Times New Roman" w:hint="eastAsia"/>
              </w:rPr>
              <w:t>平等權</w:t>
            </w:r>
            <w:r>
              <w:rPr>
                <w:rFonts w:ascii="Times New Roman" w:hAnsi="Times New Roman" w:cs="Times New Roman" w:hint="eastAsia"/>
              </w:rPr>
              <w:t>兩方面進行</w:t>
            </w:r>
            <w:r w:rsidR="009E77A8" w:rsidRPr="00B959C0">
              <w:rPr>
                <w:rFonts w:ascii="Times New Roman" w:hAnsi="Times New Roman" w:cs="Times New Roman" w:hint="eastAsia"/>
              </w:rPr>
              <w:t>思考</w:t>
            </w:r>
            <w:r w:rsidR="00781F47" w:rsidRPr="00B959C0">
              <w:rPr>
                <w:rFonts w:ascii="Times New Roman" w:hAnsi="Times New Roman" w:cs="Times New Roman" w:hint="eastAsia"/>
              </w:rPr>
              <w:t>。</w:t>
            </w:r>
          </w:p>
        </w:tc>
      </w:tr>
    </w:tbl>
    <w:p w14:paraId="5B3ECA21" w14:textId="77777777" w:rsidR="009E77A8" w:rsidRPr="00923C8E" w:rsidRDefault="009E77A8" w:rsidP="009E77A8">
      <w:pPr>
        <w:pStyle w:val="a3"/>
        <w:ind w:leftChars="0" w:left="2160"/>
        <w:rPr>
          <w:rFonts w:ascii="Times New Roman" w:hAnsi="Times New Roman" w:cs="Times New Roman"/>
        </w:rPr>
      </w:pPr>
    </w:p>
    <w:p w14:paraId="12DD2BBB" w14:textId="77777777" w:rsidR="00613C23" w:rsidRDefault="00613C23" w:rsidP="00613C23">
      <w:pPr>
        <w:pStyle w:val="a3"/>
        <w:numPr>
          <w:ilvl w:val="0"/>
          <w:numId w:val="8"/>
        </w:numPr>
        <w:ind w:leftChars="0"/>
        <w:rPr>
          <w:rFonts w:ascii="Times New Roman" w:hAnsi="Times New Roman" w:cs="Times New Roman"/>
        </w:rPr>
      </w:pPr>
      <w:r w:rsidRPr="00923C8E">
        <w:rPr>
          <w:rFonts w:ascii="Times New Roman" w:hAnsi="Times New Roman" w:cs="Times New Roman"/>
        </w:rPr>
        <w:t>懲戒權</w:t>
      </w:r>
    </w:p>
    <w:p w14:paraId="49E3734F" w14:textId="77777777" w:rsidR="00E01A84" w:rsidRDefault="00E01A84" w:rsidP="00E01A84">
      <w:pPr>
        <w:pStyle w:val="a3"/>
        <w:ind w:leftChars="0" w:left="2160"/>
        <w:rPr>
          <w:rFonts w:ascii="Times New Roman" w:hAnsi="Times New Roman" w:cs="Times New Roman"/>
        </w:rPr>
      </w:pPr>
      <w:r>
        <w:rPr>
          <w:rFonts w:ascii="Times New Roman" w:hAnsi="Times New Roman" w:cs="Times New Roman" w:hint="eastAsia"/>
        </w:rPr>
        <w:t>教師</w:t>
      </w:r>
      <w:r w:rsidR="00F8375E">
        <w:rPr>
          <w:rFonts w:ascii="Times New Roman" w:hAnsi="Times New Roman" w:cs="Times New Roman" w:hint="eastAsia"/>
        </w:rPr>
        <w:t>與行政人員</w:t>
      </w:r>
      <w:r>
        <w:rPr>
          <w:rFonts w:ascii="Times New Roman" w:hAnsi="Times New Roman" w:cs="Times New Roman" w:hint="eastAsia"/>
        </w:rPr>
        <w:t>之管理與懲戒制度，</w:t>
      </w:r>
      <w:r w:rsidR="00E82CAC">
        <w:rPr>
          <w:rFonts w:ascii="Times New Roman" w:hAnsi="Times New Roman" w:cs="Times New Roman" w:hint="eastAsia"/>
        </w:rPr>
        <w:t>原則上近似於</w:t>
      </w:r>
      <w:r>
        <w:rPr>
          <w:rFonts w:ascii="Times New Roman" w:hAnsi="Times New Roman" w:cs="Times New Roman" w:hint="eastAsia"/>
        </w:rPr>
        <w:t>一般文職公務員</w:t>
      </w:r>
      <w:r w:rsidR="00F8375E">
        <w:rPr>
          <w:rFonts w:ascii="Times New Roman" w:hAnsi="Times New Roman" w:cs="Times New Roman" w:hint="eastAsia"/>
        </w:rPr>
        <w:t>，與大學教師不同</w:t>
      </w:r>
      <w:r w:rsidR="00E82CAC">
        <w:rPr>
          <w:rFonts w:ascii="Times New Roman" w:hAnsi="Times New Roman" w:cs="Times New Roman" w:hint="eastAsia"/>
        </w:rPr>
        <w:t>。</w:t>
      </w:r>
    </w:p>
    <w:p w14:paraId="35CB7764" w14:textId="77777777" w:rsidR="00F8375E" w:rsidRDefault="00F8375E" w:rsidP="00E01A84">
      <w:pPr>
        <w:pStyle w:val="a3"/>
        <w:ind w:leftChars="0" w:left="2160"/>
        <w:rPr>
          <w:rFonts w:ascii="Times New Roman" w:hAnsi="Times New Roman" w:cs="Times New Roman"/>
        </w:rPr>
      </w:pPr>
      <w:r>
        <w:rPr>
          <w:rFonts w:ascii="Times New Roman" w:hAnsi="Times New Roman" w:cs="Times New Roman" w:hint="eastAsia"/>
        </w:rPr>
        <w:t>學生部分，釋字第</w:t>
      </w:r>
      <w:r>
        <w:rPr>
          <w:rFonts w:ascii="Times New Roman" w:hAnsi="Times New Roman" w:cs="Times New Roman" w:hint="eastAsia"/>
        </w:rPr>
        <w:t>684</w:t>
      </w:r>
      <w:r>
        <w:rPr>
          <w:rFonts w:ascii="Times New Roman" w:hAnsi="Times New Roman" w:cs="Times New Roman" w:hint="eastAsia"/>
        </w:rPr>
        <w:t>號解釋並沒有明言提及大學以外之學生，其解釋效力是否</w:t>
      </w:r>
      <w:r w:rsidR="000323A5">
        <w:rPr>
          <w:rFonts w:ascii="Times New Roman" w:hAnsi="Times New Roman" w:cs="Times New Roman" w:hint="eastAsia"/>
        </w:rPr>
        <w:t>擴</w:t>
      </w:r>
      <w:r>
        <w:rPr>
          <w:rFonts w:ascii="Times New Roman" w:hAnsi="Times New Roman" w:cs="Times New Roman" w:hint="eastAsia"/>
        </w:rPr>
        <w:t>及中小學學生，</w:t>
      </w:r>
      <w:r w:rsidR="000323A5">
        <w:rPr>
          <w:rFonts w:ascii="Times New Roman" w:hAnsi="Times New Roman" w:cs="Times New Roman" w:hint="eastAsia"/>
        </w:rPr>
        <w:t>尚無定論。</w:t>
      </w:r>
    </w:p>
    <w:p w14:paraId="59AFFB10" w14:textId="77777777" w:rsidR="007A0310" w:rsidRPr="00923C8E" w:rsidRDefault="007A0310" w:rsidP="00CD47D1">
      <w:pPr>
        <w:pBdr>
          <w:bottom w:val="single" w:sz="8" w:space="1" w:color="auto"/>
        </w:pBdr>
        <w:rPr>
          <w:rFonts w:ascii="Times New Roman" w:hAnsi="Times New Roman" w:cs="Times New Roman"/>
          <w:u w:val="single"/>
        </w:rPr>
      </w:pPr>
    </w:p>
    <w:p w14:paraId="4F3F7672" w14:textId="77777777" w:rsidR="00CD47D1" w:rsidRPr="00923C8E" w:rsidRDefault="00613C23">
      <w:pPr>
        <w:rPr>
          <w:rFonts w:ascii="Times New Roman" w:hAnsi="Times New Roman" w:cs="Times New Roman"/>
        </w:rPr>
      </w:pPr>
      <w:r w:rsidRPr="00923C8E">
        <w:rPr>
          <w:rFonts w:ascii="Times New Roman" w:hAnsi="Times New Roman" w:cs="Times New Roman"/>
        </w:rPr>
        <w:t>指定閱讀：</w:t>
      </w:r>
    </w:p>
    <w:p w14:paraId="50AFC0E4" w14:textId="77777777" w:rsidR="00CD47D1" w:rsidRPr="00923C8E" w:rsidRDefault="00CD47D1" w:rsidP="00CD47D1">
      <w:pPr>
        <w:pStyle w:val="a3"/>
        <w:numPr>
          <w:ilvl w:val="0"/>
          <w:numId w:val="11"/>
        </w:numPr>
        <w:ind w:leftChars="0"/>
        <w:rPr>
          <w:rFonts w:ascii="Times New Roman" w:hAnsi="Times New Roman" w:cs="Times New Roman"/>
        </w:rPr>
      </w:pPr>
      <w:proofErr w:type="spellStart"/>
      <w:r w:rsidRPr="00923C8E">
        <w:rPr>
          <w:rFonts w:ascii="Times New Roman" w:hAnsi="Times New Roman" w:cs="Times New Roman"/>
        </w:rPr>
        <w:t>Ceiba</w:t>
      </w:r>
      <w:proofErr w:type="spellEnd"/>
      <w:r w:rsidRPr="00923C8E">
        <w:rPr>
          <w:rFonts w:ascii="Times New Roman" w:hAnsi="Times New Roman" w:cs="Times New Roman"/>
        </w:rPr>
        <w:t>課程網上各參考書目相關章節。</w:t>
      </w:r>
    </w:p>
    <w:p w14:paraId="0187BDA1" w14:textId="77777777" w:rsidR="00923C8E" w:rsidRPr="00923C8E" w:rsidRDefault="00613C23" w:rsidP="00923C8E">
      <w:pPr>
        <w:pStyle w:val="a3"/>
        <w:numPr>
          <w:ilvl w:val="0"/>
          <w:numId w:val="11"/>
        </w:numPr>
        <w:ind w:leftChars="0"/>
        <w:rPr>
          <w:rFonts w:ascii="Times New Roman" w:hAnsi="Times New Roman" w:cs="Times New Roman"/>
        </w:rPr>
      </w:pPr>
      <w:r w:rsidRPr="00923C8E">
        <w:rPr>
          <w:rFonts w:ascii="Times New Roman" w:hAnsi="Times New Roman" w:cs="Times New Roman"/>
        </w:rPr>
        <w:t>釋字第</w:t>
      </w:r>
      <w:r w:rsidRPr="00923C8E">
        <w:rPr>
          <w:rFonts w:ascii="Times New Roman" w:hAnsi="Times New Roman" w:cs="Times New Roman"/>
        </w:rPr>
        <w:t>380</w:t>
      </w:r>
      <w:r w:rsidR="00CD47D1" w:rsidRPr="00923C8E">
        <w:rPr>
          <w:rFonts w:ascii="Times New Roman" w:hAnsi="Times New Roman" w:cs="Times New Roman"/>
        </w:rPr>
        <w:t>號</w:t>
      </w:r>
      <w:r w:rsidR="00923C8E" w:rsidRPr="00923C8E">
        <w:rPr>
          <w:rFonts w:ascii="Times New Roman" w:hAnsi="Times New Roman" w:cs="Times New Roman"/>
        </w:rPr>
        <w:t>解釋</w:t>
      </w:r>
      <w:r w:rsidR="00CD47D1" w:rsidRPr="00923C8E">
        <w:rPr>
          <w:rFonts w:ascii="Times New Roman" w:hAnsi="Times New Roman" w:cs="Times New Roman"/>
        </w:rPr>
        <w:t>，</w:t>
      </w:r>
      <w:hyperlink r:id="rId18" w:history="1">
        <w:r w:rsidR="00923C8E" w:rsidRPr="00923C8E">
          <w:rPr>
            <w:rStyle w:val="a4"/>
            <w:rFonts w:ascii="Times New Roman" w:hAnsi="Times New Roman" w:cs="Times New Roman"/>
          </w:rPr>
          <w:t>http://www.judicial.gov.tw/constitutionalcourt/p03_01.asp?expno=380</w:t>
        </w:r>
      </w:hyperlink>
      <w:r w:rsidR="00923C8E" w:rsidRPr="00923C8E">
        <w:rPr>
          <w:rFonts w:ascii="Times New Roman" w:hAnsi="Times New Roman" w:cs="Times New Roman"/>
        </w:rPr>
        <w:t>。</w:t>
      </w:r>
    </w:p>
    <w:p w14:paraId="4F8271F3" w14:textId="77777777" w:rsidR="00CD47D1" w:rsidRPr="00923C8E" w:rsidRDefault="00CD47D1" w:rsidP="00923C8E">
      <w:pPr>
        <w:pStyle w:val="a3"/>
        <w:numPr>
          <w:ilvl w:val="0"/>
          <w:numId w:val="11"/>
        </w:numPr>
        <w:ind w:leftChars="0"/>
        <w:rPr>
          <w:rFonts w:ascii="Times New Roman" w:hAnsi="Times New Roman" w:cs="Times New Roman"/>
        </w:rPr>
      </w:pPr>
      <w:r w:rsidRPr="00923C8E">
        <w:rPr>
          <w:rFonts w:ascii="Times New Roman" w:hAnsi="Times New Roman" w:cs="Times New Roman"/>
        </w:rPr>
        <w:t>釋字</w:t>
      </w:r>
      <w:r w:rsidR="00613C23" w:rsidRPr="00923C8E">
        <w:rPr>
          <w:rFonts w:ascii="Times New Roman" w:hAnsi="Times New Roman" w:cs="Times New Roman"/>
        </w:rPr>
        <w:t>第</w:t>
      </w:r>
      <w:r w:rsidR="00613C23" w:rsidRPr="00923C8E">
        <w:rPr>
          <w:rFonts w:ascii="Times New Roman" w:hAnsi="Times New Roman" w:cs="Times New Roman"/>
        </w:rPr>
        <w:t>563</w:t>
      </w:r>
      <w:r w:rsidRPr="00923C8E">
        <w:rPr>
          <w:rFonts w:ascii="Times New Roman" w:hAnsi="Times New Roman" w:cs="Times New Roman"/>
        </w:rPr>
        <w:t>號</w:t>
      </w:r>
      <w:r w:rsidR="00923C8E" w:rsidRPr="00923C8E">
        <w:rPr>
          <w:rFonts w:ascii="Times New Roman" w:hAnsi="Times New Roman" w:cs="Times New Roman"/>
        </w:rPr>
        <w:t>解釋</w:t>
      </w:r>
      <w:r w:rsidRPr="00923C8E">
        <w:rPr>
          <w:rFonts w:ascii="Times New Roman" w:hAnsi="Times New Roman" w:cs="Times New Roman"/>
        </w:rPr>
        <w:t>，</w:t>
      </w:r>
      <w:hyperlink r:id="rId19" w:history="1">
        <w:r w:rsidR="00923C8E" w:rsidRPr="00C96E4E">
          <w:rPr>
            <w:rStyle w:val="a4"/>
            <w:rFonts w:ascii="Times New Roman" w:hAnsi="Times New Roman" w:cs="Times New Roman"/>
          </w:rPr>
          <w:t>http://www.judicial.gov.tw/constitutionalcourt/p03_01.asp?expno=563</w:t>
        </w:r>
      </w:hyperlink>
      <w:r w:rsidR="00923C8E">
        <w:rPr>
          <w:rFonts w:ascii="Times New Roman" w:hAnsi="Times New Roman" w:cs="Times New Roman" w:hint="eastAsia"/>
        </w:rPr>
        <w:t>。</w:t>
      </w:r>
    </w:p>
    <w:p w14:paraId="5A5A546A" w14:textId="77777777" w:rsidR="00F71279" w:rsidRPr="00923C8E" w:rsidRDefault="00923C8E" w:rsidP="00923C8E">
      <w:pPr>
        <w:pStyle w:val="a3"/>
        <w:numPr>
          <w:ilvl w:val="0"/>
          <w:numId w:val="11"/>
        </w:numPr>
        <w:ind w:leftChars="0"/>
        <w:rPr>
          <w:rFonts w:ascii="Times New Roman" w:hAnsi="Times New Roman" w:cs="Times New Roman"/>
        </w:rPr>
      </w:pPr>
      <w:r w:rsidRPr="00923C8E">
        <w:rPr>
          <w:rFonts w:ascii="Times New Roman" w:hAnsi="Times New Roman" w:cs="Times New Roman"/>
        </w:rPr>
        <w:t>釋字</w:t>
      </w:r>
      <w:r w:rsidR="00613C23" w:rsidRPr="00923C8E">
        <w:rPr>
          <w:rFonts w:ascii="Times New Roman" w:hAnsi="Times New Roman" w:cs="Times New Roman"/>
        </w:rPr>
        <w:t>第</w:t>
      </w:r>
      <w:r w:rsidR="00613C23" w:rsidRPr="00923C8E">
        <w:rPr>
          <w:rFonts w:ascii="Times New Roman" w:hAnsi="Times New Roman" w:cs="Times New Roman"/>
        </w:rPr>
        <w:t>684</w:t>
      </w:r>
      <w:r w:rsidR="00CD47D1" w:rsidRPr="00923C8E">
        <w:rPr>
          <w:rFonts w:ascii="Times New Roman" w:hAnsi="Times New Roman" w:cs="Times New Roman"/>
        </w:rPr>
        <w:t>號解釋，</w:t>
      </w:r>
      <w:hyperlink r:id="rId20" w:history="1">
        <w:r w:rsidRPr="00C96E4E">
          <w:rPr>
            <w:rStyle w:val="a4"/>
            <w:rFonts w:ascii="Times New Roman" w:hAnsi="Times New Roman" w:cs="Times New Roman"/>
          </w:rPr>
          <w:t>http://www.judicial.gov.tw/constitutionalcourt/p03_01.asp?expno=684</w:t>
        </w:r>
      </w:hyperlink>
      <w:r>
        <w:rPr>
          <w:rFonts w:ascii="Times New Roman" w:hAnsi="Times New Roman" w:cs="Times New Roman" w:hint="eastAsia"/>
        </w:rPr>
        <w:t>。</w:t>
      </w:r>
    </w:p>
    <w:p w14:paraId="56654358" w14:textId="77777777" w:rsidR="00CD47D1" w:rsidRPr="00923C8E" w:rsidRDefault="002665B5">
      <w:pPr>
        <w:rPr>
          <w:rFonts w:ascii="Times New Roman" w:hAnsi="Times New Roman" w:cs="Times New Roman"/>
        </w:rPr>
      </w:pPr>
      <w:r w:rsidRPr="00923C8E">
        <w:rPr>
          <w:rFonts w:ascii="Times New Roman" w:hAnsi="Times New Roman" w:cs="Times New Roman"/>
        </w:rPr>
        <w:t>延伸閱讀：</w:t>
      </w:r>
    </w:p>
    <w:p w14:paraId="05D562D6" w14:textId="77777777" w:rsidR="00CD47D1" w:rsidRPr="00923C8E" w:rsidRDefault="007A0310" w:rsidP="00923C8E">
      <w:pPr>
        <w:pStyle w:val="a3"/>
        <w:numPr>
          <w:ilvl w:val="0"/>
          <w:numId w:val="12"/>
        </w:numPr>
        <w:ind w:leftChars="0"/>
        <w:rPr>
          <w:rFonts w:ascii="Times New Roman" w:hAnsi="Times New Roman" w:cs="Times New Roman"/>
        </w:rPr>
      </w:pPr>
      <w:r w:rsidRPr="00923C8E">
        <w:rPr>
          <w:rFonts w:ascii="Times New Roman" w:hAnsi="Times New Roman" w:cs="Times New Roman"/>
        </w:rPr>
        <w:lastRenderedPageBreak/>
        <w:t>釋字第</w:t>
      </w:r>
      <w:r w:rsidRPr="00923C8E">
        <w:rPr>
          <w:rFonts w:ascii="Times New Roman" w:hAnsi="Times New Roman" w:cs="Times New Roman"/>
        </w:rPr>
        <w:t>702</w:t>
      </w:r>
      <w:r w:rsidR="00CD47D1" w:rsidRPr="00923C8E">
        <w:rPr>
          <w:rFonts w:ascii="Times New Roman" w:hAnsi="Times New Roman" w:cs="Times New Roman"/>
        </w:rPr>
        <w:t>號解釋</w:t>
      </w:r>
      <w:r w:rsidR="00923C8E">
        <w:rPr>
          <w:rFonts w:ascii="Times New Roman" w:hAnsi="Times New Roman" w:cs="Times New Roman" w:hint="eastAsia"/>
        </w:rPr>
        <w:t>，</w:t>
      </w:r>
      <w:hyperlink r:id="rId21" w:history="1">
        <w:r w:rsidR="00923C8E" w:rsidRPr="00C96E4E">
          <w:rPr>
            <w:rStyle w:val="a4"/>
            <w:rFonts w:ascii="Times New Roman" w:hAnsi="Times New Roman" w:cs="Times New Roman"/>
          </w:rPr>
          <w:t>http://www.judicial.gov.tw/constitutionalcourt/p03_01.asp?expno=702</w:t>
        </w:r>
      </w:hyperlink>
      <w:r w:rsidR="00923C8E">
        <w:rPr>
          <w:rFonts w:ascii="Times New Roman" w:hAnsi="Times New Roman" w:cs="Times New Roman" w:hint="eastAsia"/>
        </w:rPr>
        <w:t>。</w:t>
      </w:r>
    </w:p>
    <w:p w14:paraId="663D5361" w14:textId="77777777" w:rsidR="00EF2987" w:rsidRPr="005A41B0" w:rsidRDefault="007A0310" w:rsidP="005A41B0">
      <w:pPr>
        <w:pStyle w:val="a3"/>
        <w:numPr>
          <w:ilvl w:val="0"/>
          <w:numId w:val="12"/>
        </w:numPr>
        <w:ind w:leftChars="0"/>
        <w:jc w:val="center"/>
        <w:rPr>
          <w:rFonts w:ascii="Times New Roman" w:hAnsi="Times New Roman" w:cs="Times New Roman"/>
        </w:rPr>
      </w:pPr>
      <w:r w:rsidRPr="00923C8E">
        <w:rPr>
          <w:rFonts w:ascii="Times New Roman" w:hAnsi="Times New Roman" w:cs="Times New Roman"/>
        </w:rPr>
        <w:t>釋字第</w:t>
      </w:r>
      <w:r w:rsidRPr="00923C8E">
        <w:rPr>
          <w:rFonts w:ascii="Times New Roman" w:hAnsi="Times New Roman" w:cs="Times New Roman"/>
        </w:rPr>
        <w:t>462</w:t>
      </w:r>
      <w:r w:rsidRPr="00923C8E">
        <w:rPr>
          <w:rFonts w:ascii="Times New Roman" w:hAnsi="Times New Roman" w:cs="Times New Roman"/>
        </w:rPr>
        <w:t>號解釋</w:t>
      </w:r>
      <w:r w:rsidR="00923C8E">
        <w:rPr>
          <w:rFonts w:ascii="Times New Roman" w:hAnsi="Times New Roman" w:cs="Times New Roman" w:hint="eastAsia"/>
        </w:rPr>
        <w:t>，</w:t>
      </w:r>
      <w:hyperlink r:id="rId22" w:history="1">
        <w:r w:rsidR="00923C8E" w:rsidRPr="00C96E4E">
          <w:rPr>
            <w:rStyle w:val="a4"/>
            <w:rFonts w:ascii="Times New Roman" w:hAnsi="Times New Roman" w:cs="Times New Roman"/>
          </w:rPr>
          <w:t>http://www.judicial.gov.tw/constitutionalcourt/p03_01.asp?expno=462</w:t>
        </w:r>
      </w:hyperlink>
      <w:r w:rsidR="00923C8E">
        <w:rPr>
          <w:rFonts w:ascii="Times New Roman" w:hAnsi="Times New Roman" w:cs="Times New Roman" w:hint="eastAsia"/>
        </w:rPr>
        <w:t>。</w:t>
      </w:r>
      <w:r w:rsidR="006A560A" w:rsidRPr="005A41B0">
        <w:rPr>
          <w:rFonts w:ascii="Times New Roman" w:hAnsi="Times New Roman" w:cs="Times New Roman"/>
        </w:rPr>
        <w:br w:type="page"/>
      </w:r>
      <w:r w:rsidR="00EF2987" w:rsidRPr="005A41B0">
        <w:rPr>
          <w:rFonts w:ascii="標楷體" w:eastAsia="標楷體" w:hAnsi="標楷體" w:hint="eastAsia"/>
          <w:sz w:val="72"/>
          <w:szCs w:val="72"/>
          <w:lang w:eastAsia="ja-JP"/>
        </w:rPr>
        <w:lastRenderedPageBreak/>
        <w:t>版權聲明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252"/>
        <w:gridCol w:w="993"/>
        <w:gridCol w:w="2235"/>
      </w:tblGrid>
      <w:tr w:rsidR="00EF2987" w:rsidRPr="00E87318" w14:paraId="0305103F" w14:textId="77777777" w:rsidTr="00ED70D7">
        <w:trPr>
          <w:jc w:val="center"/>
        </w:trPr>
        <w:tc>
          <w:tcPr>
            <w:tcW w:w="882" w:type="dxa"/>
            <w:shd w:val="clear" w:color="auto" w:fill="auto"/>
            <w:vAlign w:val="center"/>
          </w:tcPr>
          <w:p w14:paraId="59B48D73" w14:textId="77777777" w:rsidR="00EF2987" w:rsidRPr="00E87318" w:rsidRDefault="00EF2987" w:rsidP="00ED70D7">
            <w:pPr>
              <w:suppressAutoHyphens/>
              <w:kinsoku w:val="0"/>
              <w:wordWrap w:val="0"/>
              <w:autoSpaceDE w:val="0"/>
              <w:autoSpaceDN w:val="0"/>
              <w:jc w:val="center"/>
              <w:rPr>
                <w:rFonts w:ascii="標楷體" w:eastAsia="標楷體" w:hAnsi="標楷體" w:cs="細明體"/>
                <w:b/>
                <w:lang w:eastAsia="ja-JP"/>
              </w:rPr>
            </w:pPr>
            <w:r w:rsidRPr="00E87318">
              <w:rPr>
                <w:rFonts w:ascii="標楷體" w:eastAsia="標楷體" w:hAnsi="標楷體" w:cs="細明體" w:hint="eastAsia"/>
                <w:b/>
                <w:lang w:eastAsia="ja-JP"/>
              </w:rPr>
              <w:t>頁碼</w:t>
            </w:r>
          </w:p>
        </w:tc>
        <w:tc>
          <w:tcPr>
            <w:tcW w:w="4252" w:type="dxa"/>
            <w:shd w:val="clear" w:color="auto" w:fill="auto"/>
            <w:vAlign w:val="center"/>
          </w:tcPr>
          <w:p w14:paraId="7EA34D1D" w14:textId="77777777" w:rsidR="00EF2987" w:rsidRPr="00E87318" w:rsidRDefault="00EF2987" w:rsidP="00ED70D7">
            <w:pPr>
              <w:suppressAutoHyphens/>
              <w:kinsoku w:val="0"/>
              <w:wordWrap w:val="0"/>
              <w:autoSpaceDE w:val="0"/>
              <w:autoSpaceDN w:val="0"/>
              <w:jc w:val="center"/>
              <w:rPr>
                <w:rFonts w:ascii="標楷體" w:eastAsia="標楷體" w:hAnsi="標楷體" w:cs="細明體"/>
                <w:b/>
                <w:lang w:eastAsia="ja-JP"/>
              </w:rPr>
            </w:pPr>
            <w:r w:rsidRPr="00E87318">
              <w:rPr>
                <w:rFonts w:ascii="標楷體" w:eastAsia="標楷體" w:hAnsi="標楷體" w:cs="細明體" w:hint="eastAsia"/>
                <w:b/>
                <w:lang w:eastAsia="ja-JP"/>
              </w:rPr>
              <w:t>作品</w:t>
            </w:r>
          </w:p>
        </w:tc>
        <w:tc>
          <w:tcPr>
            <w:tcW w:w="993" w:type="dxa"/>
            <w:shd w:val="clear" w:color="auto" w:fill="auto"/>
            <w:vAlign w:val="center"/>
          </w:tcPr>
          <w:p w14:paraId="59D257A8" w14:textId="77777777" w:rsidR="00EF2987" w:rsidRDefault="00EF2987" w:rsidP="00ED70D7">
            <w:pPr>
              <w:suppressAutoHyphens/>
              <w:kinsoku w:val="0"/>
              <w:wordWrap w:val="0"/>
              <w:autoSpaceDE w:val="0"/>
              <w:autoSpaceDN w:val="0"/>
              <w:jc w:val="center"/>
              <w:rPr>
                <w:rFonts w:ascii="標楷體" w:eastAsia="標楷體" w:hAnsi="標楷體" w:cs="細明體"/>
                <w:b/>
              </w:rPr>
            </w:pPr>
            <w:r w:rsidRPr="00E87318">
              <w:rPr>
                <w:rFonts w:ascii="標楷體" w:eastAsia="標楷體" w:hAnsi="標楷體" w:cs="細明體" w:hint="eastAsia"/>
                <w:b/>
                <w:lang w:eastAsia="ja-JP"/>
              </w:rPr>
              <w:t>版權</w:t>
            </w:r>
          </w:p>
          <w:p w14:paraId="7579A743" w14:textId="77777777" w:rsidR="00EF2987" w:rsidRPr="00E87318" w:rsidRDefault="00EF2987" w:rsidP="00ED70D7">
            <w:pPr>
              <w:suppressAutoHyphens/>
              <w:kinsoku w:val="0"/>
              <w:wordWrap w:val="0"/>
              <w:autoSpaceDE w:val="0"/>
              <w:autoSpaceDN w:val="0"/>
              <w:jc w:val="center"/>
              <w:rPr>
                <w:rFonts w:ascii="標楷體" w:eastAsia="標楷體" w:hAnsi="標楷體" w:cs="細明體"/>
                <w:b/>
                <w:lang w:eastAsia="ja-JP"/>
              </w:rPr>
            </w:pPr>
            <w:r w:rsidRPr="00E87318">
              <w:rPr>
                <w:rFonts w:ascii="標楷體" w:eastAsia="標楷體" w:hAnsi="標楷體" w:cs="細明體" w:hint="eastAsia"/>
                <w:b/>
                <w:lang w:eastAsia="ja-JP"/>
              </w:rPr>
              <w:t>標示</w:t>
            </w:r>
          </w:p>
        </w:tc>
        <w:tc>
          <w:tcPr>
            <w:tcW w:w="2235" w:type="dxa"/>
            <w:shd w:val="clear" w:color="auto" w:fill="auto"/>
            <w:vAlign w:val="center"/>
          </w:tcPr>
          <w:p w14:paraId="5712B05F" w14:textId="77777777" w:rsidR="00EF2987" w:rsidRPr="00E87318" w:rsidRDefault="00EF2987" w:rsidP="00ED70D7">
            <w:pPr>
              <w:suppressAutoHyphens/>
              <w:kinsoku w:val="0"/>
              <w:autoSpaceDE w:val="0"/>
              <w:autoSpaceDN w:val="0"/>
              <w:jc w:val="center"/>
              <w:rPr>
                <w:rFonts w:ascii="標楷體" w:eastAsia="標楷體" w:hAnsi="標楷體" w:cs="細明體"/>
                <w:b/>
                <w:lang w:eastAsia="ja-JP"/>
              </w:rPr>
            </w:pPr>
            <w:r w:rsidRPr="00E87318">
              <w:rPr>
                <w:rFonts w:ascii="標楷體" w:eastAsia="標楷體" w:hAnsi="標楷體" w:cs="細明體" w:hint="eastAsia"/>
                <w:b/>
                <w:lang w:eastAsia="ja-JP"/>
              </w:rPr>
              <w:t>作者/出處</w:t>
            </w:r>
          </w:p>
        </w:tc>
      </w:tr>
      <w:tr w:rsidR="00EF2987" w:rsidRPr="00E87318" w14:paraId="18046A90" w14:textId="77777777" w:rsidTr="00AA009B">
        <w:trPr>
          <w:jc w:val="center"/>
        </w:trPr>
        <w:tc>
          <w:tcPr>
            <w:tcW w:w="882" w:type="dxa"/>
            <w:shd w:val="clear" w:color="auto" w:fill="auto"/>
            <w:vAlign w:val="center"/>
          </w:tcPr>
          <w:p w14:paraId="744CEB4B" w14:textId="77777777" w:rsidR="00EF2987" w:rsidRPr="00E87318" w:rsidRDefault="00820B8A" w:rsidP="00AA009B">
            <w:pPr>
              <w:jc w:val="center"/>
              <w:rPr>
                <w:rFonts w:ascii="Times New Roman" w:eastAsia="標楷體" w:hAnsi="Times New Roman"/>
                <w:sz w:val="36"/>
                <w:szCs w:val="36"/>
              </w:rPr>
            </w:pPr>
            <w:r>
              <w:rPr>
                <w:rFonts w:ascii="Times New Roman" w:eastAsia="標楷體" w:hAnsi="Times New Roman" w:hint="eastAsia"/>
                <w:sz w:val="36"/>
                <w:szCs w:val="36"/>
              </w:rPr>
              <w:t>2</w:t>
            </w:r>
          </w:p>
        </w:tc>
        <w:tc>
          <w:tcPr>
            <w:tcW w:w="4252" w:type="dxa"/>
            <w:shd w:val="clear" w:color="auto" w:fill="auto"/>
            <w:vAlign w:val="center"/>
          </w:tcPr>
          <w:p w14:paraId="45EB951C" w14:textId="77777777" w:rsidR="00EF2987" w:rsidRPr="00ED70D7" w:rsidRDefault="00820B8A" w:rsidP="00ED70D7">
            <w:pPr>
              <w:rPr>
                <w:rFonts w:ascii="Times New Roman" w:eastAsia="標楷體" w:hAnsi="Times New Roman" w:cs="Times New Roman"/>
                <w:color w:val="000000"/>
              </w:rPr>
            </w:pPr>
            <w:r w:rsidRPr="00ED70D7">
              <w:rPr>
                <w:rFonts w:ascii="Times New Roman" w:eastAsia="標楷體" w:hAnsi="Times New Roman" w:cs="Times New Roman"/>
              </w:rPr>
              <w:t>「</w:t>
            </w:r>
            <w:r w:rsidRPr="00ED70D7">
              <w:rPr>
                <w:rFonts w:ascii="Times New Roman" w:eastAsia="標楷體" w:hAnsi="Times New Roman" w:cs="Times New Roman"/>
                <w:color w:val="000000"/>
              </w:rPr>
              <w:t>憲法第十一條關於講學自由之規定，係對學術自由之制度性保障；就大學教育而言，應包含研究自由、教學自由及學習自由等事項。</w:t>
            </w:r>
            <w:r w:rsidRPr="00ED70D7">
              <w:rPr>
                <w:rFonts w:ascii="Times New Roman" w:eastAsia="標楷體" w:hAnsi="Times New Roman" w:cs="Times New Roman"/>
              </w:rPr>
              <w:t>」</w:t>
            </w:r>
          </w:p>
        </w:tc>
        <w:tc>
          <w:tcPr>
            <w:tcW w:w="993" w:type="dxa"/>
            <w:shd w:val="clear" w:color="auto" w:fill="auto"/>
            <w:vAlign w:val="center"/>
          </w:tcPr>
          <w:p w14:paraId="79C41D1F" w14:textId="77777777" w:rsidR="00EF2987" w:rsidRPr="00E87318" w:rsidRDefault="00820B8A" w:rsidP="00AA009B">
            <w:pPr>
              <w:jc w:val="center"/>
              <w:rPr>
                <w:rFonts w:ascii="標楷體" w:eastAsia="標楷體" w:hAnsi="標楷體"/>
                <w:noProof/>
              </w:rPr>
            </w:pPr>
            <w:r>
              <w:rPr>
                <w:rFonts w:ascii="標楷體" w:eastAsia="標楷體" w:hAnsi="標楷體"/>
                <w:noProof/>
              </w:rPr>
              <w:drawing>
                <wp:inline distT="0" distB="0" distL="0" distR="0" wp14:anchorId="3C51454D" wp14:editId="14DC73D7">
                  <wp:extent cx="222636" cy="195005"/>
                  <wp:effectExtent l="0" t="0" r="6350" b="0"/>
                  <wp:docPr id="7" name="圖片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c>
          <w:tcPr>
            <w:tcW w:w="2235" w:type="dxa"/>
            <w:shd w:val="clear" w:color="auto" w:fill="auto"/>
            <w:vAlign w:val="center"/>
          </w:tcPr>
          <w:p w14:paraId="739E392D" w14:textId="77777777" w:rsidR="00EF2987" w:rsidRPr="00E87318" w:rsidRDefault="00820B8A" w:rsidP="00ED70D7">
            <w:pPr>
              <w:rPr>
                <w:rFonts w:ascii="Times New Roman" w:eastAsia="標楷體" w:hAnsi="Times New Roman"/>
              </w:rPr>
            </w:pPr>
            <w:r w:rsidRPr="00E87318">
              <w:rPr>
                <w:rFonts w:ascii="Times New Roman" w:eastAsia="標楷體" w:hAnsi="Times New Roman"/>
              </w:rPr>
              <w:t>中華民國</w:t>
            </w:r>
            <w:r w:rsidRPr="00E87318">
              <w:rPr>
                <w:rFonts w:ascii="Times New Roman" w:eastAsia="標楷體" w:hAnsi="Times New Roman" w:hint="eastAsia"/>
              </w:rPr>
              <w:t>憲法</w:t>
            </w:r>
            <w:r w:rsidRPr="00BF513C">
              <w:rPr>
                <w:rFonts w:ascii="Times New Roman" w:eastAsia="標楷體" w:hAnsi="Times New Roman"/>
              </w:rPr>
              <w:t>釋字</w:t>
            </w:r>
            <w:r w:rsidRPr="00BF513C">
              <w:rPr>
                <w:rFonts w:ascii="Times New Roman" w:eastAsia="標楷體" w:hAnsi="Times New Roman" w:hint="eastAsia"/>
              </w:rPr>
              <w:t>第</w:t>
            </w:r>
            <w:r>
              <w:rPr>
                <w:rFonts w:ascii="Times New Roman" w:eastAsia="標楷體" w:hAnsi="Times New Roman" w:hint="eastAsia"/>
              </w:rPr>
              <w:t>380</w:t>
            </w:r>
            <w:r w:rsidRPr="00BF513C">
              <w:rPr>
                <w:rFonts w:ascii="Times New Roman" w:eastAsia="標楷體" w:hAnsi="Times New Roman"/>
              </w:rPr>
              <w:t>號解釋文</w:t>
            </w:r>
            <w:r w:rsidRPr="00E87318">
              <w:rPr>
                <w:rFonts w:ascii="Times New Roman" w:eastAsia="標楷體" w:hAnsi="Times New Roman"/>
              </w:rPr>
              <w:t>，屬公共領域之著作。</w:t>
            </w:r>
          </w:p>
        </w:tc>
      </w:tr>
      <w:tr w:rsidR="00EF2987" w:rsidRPr="00221BCE" w14:paraId="286AC8EB" w14:textId="77777777" w:rsidTr="00AA009B">
        <w:trPr>
          <w:jc w:val="center"/>
        </w:trPr>
        <w:tc>
          <w:tcPr>
            <w:tcW w:w="882" w:type="dxa"/>
            <w:shd w:val="clear" w:color="auto" w:fill="auto"/>
            <w:vAlign w:val="center"/>
          </w:tcPr>
          <w:p w14:paraId="7C78C97C" w14:textId="77777777" w:rsidR="00EF2987" w:rsidRPr="00221BCE" w:rsidRDefault="00820B8A" w:rsidP="00AA009B">
            <w:pPr>
              <w:jc w:val="center"/>
              <w:rPr>
                <w:rFonts w:ascii="Times New Roman" w:eastAsia="標楷體" w:hAnsi="Times New Roman"/>
                <w:color w:val="000000" w:themeColor="text1"/>
                <w:sz w:val="36"/>
                <w:szCs w:val="36"/>
              </w:rPr>
            </w:pPr>
            <w:r>
              <w:rPr>
                <w:rFonts w:ascii="Times New Roman" w:eastAsia="標楷體" w:hAnsi="Times New Roman" w:hint="eastAsia"/>
                <w:color w:val="000000" w:themeColor="text1"/>
                <w:sz w:val="36"/>
                <w:szCs w:val="36"/>
              </w:rPr>
              <w:t>4</w:t>
            </w:r>
          </w:p>
        </w:tc>
        <w:tc>
          <w:tcPr>
            <w:tcW w:w="4252" w:type="dxa"/>
            <w:shd w:val="clear" w:color="auto" w:fill="auto"/>
            <w:vAlign w:val="center"/>
          </w:tcPr>
          <w:p w14:paraId="40D69C92" w14:textId="77777777" w:rsidR="00EF2987" w:rsidRPr="00ED70D7" w:rsidRDefault="00820B8A" w:rsidP="00ED70D7">
            <w:pPr>
              <w:rPr>
                <w:rFonts w:ascii="Times New Roman" w:eastAsia="標楷體" w:hAnsi="Times New Roman" w:cs="Times New Roman"/>
                <w:color w:val="000000" w:themeColor="text1"/>
              </w:rPr>
            </w:pPr>
            <w:r w:rsidRPr="00ED70D7">
              <w:rPr>
                <w:rFonts w:ascii="Times New Roman" w:eastAsia="標楷體" w:hAnsi="Times New Roman" w:cs="Times New Roman"/>
              </w:rPr>
              <w:t>「</w:t>
            </w:r>
            <w:r w:rsidRPr="00ED70D7">
              <w:rPr>
                <w:rFonts w:ascii="Times New Roman" w:eastAsia="標楷體" w:hAnsi="Times New Roman" w:cs="Times New Roman"/>
                <w:color w:val="000000"/>
              </w:rPr>
              <w:t>各級學校依有關學籍規則或懲處規定，對學生所為退學或類此</w:t>
            </w:r>
            <w:proofErr w:type="gramStart"/>
            <w:r w:rsidRPr="00ED70D7">
              <w:rPr>
                <w:rFonts w:ascii="Times New Roman" w:eastAsia="標楷體" w:hAnsi="Times New Roman" w:cs="Times New Roman"/>
                <w:color w:val="000000"/>
              </w:rPr>
              <w:t>之</w:t>
            </w:r>
            <w:proofErr w:type="gramEnd"/>
            <w:r w:rsidRPr="00ED70D7">
              <w:rPr>
                <w:rFonts w:ascii="Times New Roman" w:eastAsia="標楷體" w:hAnsi="Times New Roman" w:cs="Times New Roman"/>
                <w:color w:val="000000"/>
              </w:rPr>
              <w:t>處分行為，足以改變其學生身分並損及其受教育之機會，自屬對人民憲法上受教育之權利有重大影響，此種處分行為應為訴願法及行政訴訟法上之行政處分。受處分之學生於用盡校內申訴途徑，未獲救濟者，自得依法提起訴願及行政訴訟。</w:t>
            </w:r>
            <w:r w:rsidRPr="00ED70D7">
              <w:rPr>
                <w:rFonts w:ascii="Times New Roman" w:eastAsia="標楷體" w:hAnsi="Times New Roman" w:cs="Times New Roman"/>
              </w:rPr>
              <w:t>」</w:t>
            </w:r>
          </w:p>
        </w:tc>
        <w:tc>
          <w:tcPr>
            <w:tcW w:w="993" w:type="dxa"/>
            <w:shd w:val="clear" w:color="auto" w:fill="auto"/>
            <w:vAlign w:val="center"/>
          </w:tcPr>
          <w:p w14:paraId="04417711" w14:textId="77777777" w:rsidR="00EF2987" w:rsidRPr="00221BCE" w:rsidRDefault="00820B8A" w:rsidP="00AA009B">
            <w:pPr>
              <w:jc w:val="center"/>
              <w:rPr>
                <w:rFonts w:ascii="標楷體" w:eastAsia="標楷體" w:hAnsi="標楷體"/>
                <w:noProof/>
                <w:color w:val="000000" w:themeColor="text1"/>
              </w:rPr>
            </w:pPr>
            <w:r>
              <w:rPr>
                <w:rFonts w:ascii="標楷體" w:eastAsia="標楷體" w:hAnsi="標楷體"/>
                <w:noProof/>
              </w:rPr>
              <w:drawing>
                <wp:inline distT="0" distB="0" distL="0" distR="0" wp14:anchorId="6854C2EA" wp14:editId="16C6739C">
                  <wp:extent cx="222636" cy="195005"/>
                  <wp:effectExtent l="0" t="0" r="6350" b="0"/>
                  <wp:docPr id="8" name="圖片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c>
          <w:tcPr>
            <w:tcW w:w="2235" w:type="dxa"/>
            <w:shd w:val="clear" w:color="auto" w:fill="auto"/>
            <w:vAlign w:val="center"/>
          </w:tcPr>
          <w:p w14:paraId="5E817B79" w14:textId="77777777" w:rsidR="00EF2987" w:rsidRPr="00221BCE" w:rsidRDefault="00820B8A" w:rsidP="00ED70D7">
            <w:pPr>
              <w:rPr>
                <w:rFonts w:ascii="Times New Roman" w:eastAsia="標楷體" w:hAnsi="Times New Roman"/>
                <w:color w:val="000000" w:themeColor="text1"/>
              </w:rPr>
            </w:pPr>
            <w:r w:rsidRPr="00E87318">
              <w:rPr>
                <w:rFonts w:ascii="Times New Roman" w:eastAsia="標楷體" w:hAnsi="Times New Roman"/>
              </w:rPr>
              <w:t>中華民國</w:t>
            </w:r>
            <w:r w:rsidRPr="00E87318">
              <w:rPr>
                <w:rFonts w:ascii="Times New Roman" w:eastAsia="標楷體" w:hAnsi="Times New Roman" w:hint="eastAsia"/>
              </w:rPr>
              <w:t>憲法</w:t>
            </w:r>
            <w:r w:rsidRPr="00BF513C">
              <w:rPr>
                <w:rFonts w:ascii="Times New Roman" w:eastAsia="標楷體" w:hAnsi="Times New Roman"/>
              </w:rPr>
              <w:t>釋字</w:t>
            </w:r>
            <w:r w:rsidRPr="00BF513C">
              <w:rPr>
                <w:rFonts w:ascii="Times New Roman" w:eastAsia="標楷體" w:hAnsi="Times New Roman" w:hint="eastAsia"/>
              </w:rPr>
              <w:t>第</w:t>
            </w:r>
            <w:r>
              <w:rPr>
                <w:rFonts w:ascii="Times New Roman" w:eastAsia="標楷體" w:hAnsi="Times New Roman" w:hint="eastAsia"/>
              </w:rPr>
              <w:t>382</w:t>
            </w:r>
            <w:r w:rsidRPr="00BF513C">
              <w:rPr>
                <w:rFonts w:ascii="Times New Roman" w:eastAsia="標楷體" w:hAnsi="Times New Roman"/>
              </w:rPr>
              <w:t>號解釋文</w:t>
            </w:r>
            <w:r w:rsidRPr="00E87318">
              <w:rPr>
                <w:rFonts w:ascii="Times New Roman" w:eastAsia="標楷體" w:hAnsi="Times New Roman"/>
              </w:rPr>
              <w:t>，屬公共領域之著作。</w:t>
            </w:r>
          </w:p>
        </w:tc>
      </w:tr>
      <w:tr w:rsidR="00EF2987" w:rsidRPr="00E87318" w14:paraId="30C6F454" w14:textId="77777777" w:rsidTr="00820B8A">
        <w:trPr>
          <w:trHeight w:val="470"/>
          <w:jc w:val="center"/>
        </w:trPr>
        <w:tc>
          <w:tcPr>
            <w:tcW w:w="882" w:type="dxa"/>
            <w:shd w:val="clear" w:color="auto" w:fill="auto"/>
            <w:vAlign w:val="center"/>
          </w:tcPr>
          <w:p w14:paraId="23AAB1CB" w14:textId="77777777" w:rsidR="00EF2987" w:rsidRPr="00E87318" w:rsidRDefault="00820B8A" w:rsidP="00AA009B">
            <w:pPr>
              <w:jc w:val="center"/>
              <w:rPr>
                <w:rFonts w:ascii="Times New Roman" w:eastAsia="標楷體" w:hAnsi="Times New Roman"/>
                <w:sz w:val="36"/>
                <w:szCs w:val="36"/>
              </w:rPr>
            </w:pPr>
            <w:r>
              <w:rPr>
                <w:rFonts w:ascii="Times New Roman" w:eastAsia="標楷體" w:hAnsi="Times New Roman" w:hint="eastAsia"/>
                <w:sz w:val="36"/>
                <w:szCs w:val="36"/>
              </w:rPr>
              <w:t>4</w:t>
            </w:r>
          </w:p>
        </w:tc>
        <w:tc>
          <w:tcPr>
            <w:tcW w:w="4252" w:type="dxa"/>
            <w:shd w:val="clear" w:color="auto" w:fill="auto"/>
            <w:vAlign w:val="center"/>
          </w:tcPr>
          <w:p w14:paraId="66738B17" w14:textId="77777777" w:rsidR="00EF2987" w:rsidRPr="00ED70D7" w:rsidRDefault="00820B8A" w:rsidP="00ED70D7">
            <w:pPr>
              <w:rPr>
                <w:rFonts w:ascii="Times New Roman" w:eastAsia="標楷體" w:hAnsi="Times New Roman" w:cs="Times New Roman"/>
              </w:rPr>
            </w:pPr>
            <w:r w:rsidRPr="00ED70D7">
              <w:rPr>
                <w:rFonts w:ascii="Times New Roman" w:eastAsia="標楷體" w:hAnsi="Times New Roman" w:cs="Times New Roman"/>
              </w:rPr>
              <w:t>「</w:t>
            </w:r>
            <w:r w:rsidRPr="00ED70D7">
              <w:rPr>
                <w:rFonts w:ascii="Times New Roman" w:eastAsia="標楷體" w:hAnsi="Times New Roman" w:cs="Times New Roman"/>
                <w:color w:val="000000"/>
              </w:rPr>
              <w:t>大學為實現研究學術及培育人才之教育目的或維持學校秩序，對學生所為行政處分或其他公權力措施，如侵害學生受教育權或其他基本權利，即使非屬退學或類此</w:t>
            </w:r>
            <w:proofErr w:type="gramStart"/>
            <w:r w:rsidRPr="00ED70D7">
              <w:rPr>
                <w:rFonts w:ascii="Times New Roman" w:eastAsia="標楷體" w:hAnsi="Times New Roman" w:cs="Times New Roman"/>
                <w:color w:val="000000"/>
              </w:rPr>
              <w:t>之</w:t>
            </w:r>
            <w:proofErr w:type="gramEnd"/>
            <w:r w:rsidRPr="00ED70D7">
              <w:rPr>
                <w:rFonts w:ascii="Times New Roman" w:eastAsia="標楷體" w:hAnsi="Times New Roman" w:cs="Times New Roman"/>
                <w:color w:val="000000"/>
              </w:rPr>
              <w:t>處分，本於憲法第十六條有權利即有救濟之意旨，仍應許權利受侵害之學生提起行政爭</w:t>
            </w:r>
            <w:proofErr w:type="gramStart"/>
            <w:r w:rsidRPr="00ED70D7">
              <w:rPr>
                <w:rFonts w:ascii="Times New Roman" w:eastAsia="標楷體" w:hAnsi="Times New Roman" w:cs="Times New Roman"/>
                <w:color w:val="000000"/>
              </w:rPr>
              <w:t>訟</w:t>
            </w:r>
            <w:proofErr w:type="gramEnd"/>
            <w:r w:rsidRPr="00ED70D7">
              <w:rPr>
                <w:rFonts w:ascii="Times New Roman" w:eastAsia="標楷體" w:hAnsi="Times New Roman" w:cs="Times New Roman"/>
                <w:color w:val="000000"/>
              </w:rPr>
              <w:t>，無特別限制之必要。在此範圍內，本院釋字第三八二號解釋應予變更。</w:t>
            </w:r>
            <w:r w:rsidRPr="00ED70D7">
              <w:rPr>
                <w:rFonts w:ascii="Times New Roman" w:eastAsia="標楷體" w:hAnsi="Times New Roman" w:cs="Times New Roman"/>
              </w:rPr>
              <w:t>」</w:t>
            </w:r>
          </w:p>
        </w:tc>
        <w:tc>
          <w:tcPr>
            <w:tcW w:w="993" w:type="dxa"/>
            <w:shd w:val="clear" w:color="auto" w:fill="auto"/>
            <w:vAlign w:val="center"/>
          </w:tcPr>
          <w:p w14:paraId="79ABE318" w14:textId="77777777" w:rsidR="00820B8A" w:rsidRPr="00E87318" w:rsidRDefault="0067682C" w:rsidP="00AA009B">
            <w:pPr>
              <w:jc w:val="center"/>
              <w:rPr>
                <w:rFonts w:ascii="標楷體" w:eastAsia="標楷體" w:hAnsi="標楷體"/>
                <w:noProof/>
              </w:rPr>
            </w:pPr>
            <w:hyperlink r:id="rId23" w:history="1">
              <w:r w:rsidR="00686BAE">
                <w:rPr>
                  <w:rFonts w:ascii="標楷體" w:eastAsia="標楷體" w:hAnsi="標楷體"/>
                  <w:noProof/>
                </w:rPr>
                <w:pict w14:anchorId="564D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i1025" type="#_x0000_t75" href="http://ocw.aca.ntu.edu.tw/ntu-ocw/index.php/ocw/copyright_declaration" style="width:18pt;height:16.5pt;visibility:visible;mso-wrap-style:square" o:button="t">
                    <v:fill o:detectmouseclick="t"/>
                    <v:imagedata r:id="rId24" o:title=""/>
                  </v:shape>
                </w:pict>
              </w:r>
            </w:hyperlink>
          </w:p>
        </w:tc>
        <w:tc>
          <w:tcPr>
            <w:tcW w:w="2235" w:type="dxa"/>
            <w:shd w:val="clear" w:color="auto" w:fill="auto"/>
            <w:vAlign w:val="center"/>
          </w:tcPr>
          <w:p w14:paraId="52340595" w14:textId="77777777" w:rsidR="00EF2987" w:rsidRPr="00E87318" w:rsidRDefault="00820B8A" w:rsidP="00ED70D7">
            <w:pPr>
              <w:rPr>
                <w:rFonts w:ascii="Times New Roman" w:eastAsia="標楷體" w:hAnsi="Times New Roman"/>
              </w:rPr>
            </w:pPr>
            <w:r w:rsidRPr="00E87318">
              <w:rPr>
                <w:rFonts w:ascii="Times New Roman" w:eastAsia="標楷體" w:hAnsi="Times New Roman"/>
              </w:rPr>
              <w:t>中華民國</w:t>
            </w:r>
            <w:r w:rsidRPr="00E87318">
              <w:rPr>
                <w:rFonts w:ascii="Times New Roman" w:eastAsia="標楷體" w:hAnsi="Times New Roman" w:hint="eastAsia"/>
              </w:rPr>
              <w:t>憲法</w:t>
            </w:r>
            <w:r w:rsidRPr="00BF513C">
              <w:rPr>
                <w:rFonts w:ascii="Times New Roman" w:eastAsia="標楷體" w:hAnsi="Times New Roman"/>
              </w:rPr>
              <w:t>釋字</w:t>
            </w:r>
            <w:r w:rsidRPr="00BF513C">
              <w:rPr>
                <w:rFonts w:ascii="Times New Roman" w:eastAsia="標楷體" w:hAnsi="Times New Roman" w:hint="eastAsia"/>
              </w:rPr>
              <w:t>第</w:t>
            </w:r>
            <w:r>
              <w:rPr>
                <w:rFonts w:ascii="Times New Roman" w:eastAsia="標楷體" w:hAnsi="Times New Roman" w:hint="eastAsia"/>
              </w:rPr>
              <w:t>684</w:t>
            </w:r>
            <w:r w:rsidRPr="00BF513C">
              <w:rPr>
                <w:rFonts w:ascii="Times New Roman" w:eastAsia="標楷體" w:hAnsi="Times New Roman"/>
              </w:rPr>
              <w:t>號解釋文</w:t>
            </w:r>
            <w:r w:rsidRPr="00E87318">
              <w:rPr>
                <w:rFonts w:ascii="Times New Roman" w:eastAsia="標楷體" w:hAnsi="Times New Roman"/>
              </w:rPr>
              <w:t>，屬公共領域之著作。</w:t>
            </w:r>
          </w:p>
        </w:tc>
      </w:tr>
      <w:tr w:rsidR="00820B8A" w:rsidRPr="00E87318" w14:paraId="44B0C3A0" w14:textId="77777777" w:rsidTr="00A67EB1">
        <w:trPr>
          <w:trHeight w:val="2040"/>
          <w:jc w:val="center"/>
        </w:trPr>
        <w:tc>
          <w:tcPr>
            <w:tcW w:w="882" w:type="dxa"/>
            <w:shd w:val="clear" w:color="auto" w:fill="auto"/>
            <w:vAlign w:val="center"/>
          </w:tcPr>
          <w:p w14:paraId="5B981421" w14:textId="77777777" w:rsidR="00820B8A" w:rsidRPr="002F0F53" w:rsidRDefault="00A67EB1" w:rsidP="00AA009B">
            <w:pPr>
              <w:jc w:val="center"/>
              <w:rPr>
                <w:rFonts w:ascii="Times New Roman" w:eastAsia="標楷體" w:hAnsi="Times New Roman"/>
                <w:sz w:val="32"/>
                <w:szCs w:val="32"/>
              </w:rPr>
            </w:pPr>
            <w:r w:rsidRPr="002F0F53">
              <w:rPr>
                <w:rFonts w:ascii="Times New Roman" w:eastAsia="標楷體" w:hAnsi="Times New Roman" w:hint="eastAsia"/>
                <w:sz w:val="32"/>
                <w:szCs w:val="32"/>
              </w:rPr>
              <w:t>4-</w:t>
            </w:r>
            <w:r w:rsidR="00820B8A" w:rsidRPr="002F0F53">
              <w:rPr>
                <w:rFonts w:ascii="Times New Roman" w:eastAsia="標楷體" w:hAnsi="Times New Roman" w:hint="eastAsia"/>
                <w:sz w:val="32"/>
                <w:szCs w:val="32"/>
              </w:rPr>
              <w:t>5</w:t>
            </w:r>
          </w:p>
        </w:tc>
        <w:tc>
          <w:tcPr>
            <w:tcW w:w="4252" w:type="dxa"/>
            <w:shd w:val="clear" w:color="auto" w:fill="auto"/>
            <w:vAlign w:val="center"/>
          </w:tcPr>
          <w:p w14:paraId="7449191E" w14:textId="77777777" w:rsidR="00A67EB1" w:rsidRPr="00ED70D7" w:rsidRDefault="00820B8A" w:rsidP="00ED70D7">
            <w:pPr>
              <w:rPr>
                <w:rFonts w:ascii="Times New Roman" w:eastAsia="標楷體" w:hAnsi="Times New Roman" w:cs="Times New Roman"/>
              </w:rPr>
            </w:pPr>
            <w:r w:rsidRPr="00ED70D7">
              <w:rPr>
                <w:rFonts w:ascii="Times New Roman" w:eastAsia="標楷體" w:hAnsi="Times New Roman" w:cs="Times New Roman"/>
              </w:rPr>
              <w:t>「</w:t>
            </w:r>
            <w:r w:rsidRPr="00ED70D7">
              <w:rPr>
                <w:rFonts w:ascii="Times New Roman" w:eastAsia="標楷體" w:hAnsi="Times New Roman" w:cs="Times New Roman"/>
              </w:rPr>
              <w:t>…</w:t>
            </w:r>
            <w:r w:rsidRPr="00ED70D7">
              <w:rPr>
                <w:rFonts w:ascii="Times New Roman" w:eastAsia="標楷體" w:hAnsi="Times New Roman" w:cs="Times New Roman"/>
                <w:color w:val="000000"/>
              </w:rPr>
              <w:t>受理此類事件之行政救濟機關及行政法院自得據以審查其是否遵守相關之程序，或其判斷、評量是否以錯誤之事實為基礎，是否有違一般事理之考量等違法或顯然不當之情事。</w:t>
            </w:r>
            <w:r w:rsidRPr="00ED70D7">
              <w:rPr>
                <w:rFonts w:ascii="Times New Roman" w:eastAsia="標楷體" w:hAnsi="Times New Roman" w:cs="Times New Roman"/>
                <w:color w:val="000000"/>
              </w:rPr>
              <w:t>…</w:t>
            </w:r>
            <w:r w:rsidRPr="00ED70D7">
              <w:rPr>
                <w:rFonts w:ascii="Times New Roman" w:eastAsia="標楷體" w:hAnsi="Times New Roman" w:cs="Times New Roman"/>
              </w:rPr>
              <w:t>」</w:t>
            </w:r>
          </w:p>
        </w:tc>
        <w:tc>
          <w:tcPr>
            <w:tcW w:w="993" w:type="dxa"/>
            <w:shd w:val="clear" w:color="auto" w:fill="auto"/>
            <w:vAlign w:val="center"/>
          </w:tcPr>
          <w:p w14:paraId="335579A7" w14:textId="77777777" w:rsidR="00820B8A" w:rsidRDefault="00A67EB1" w:rsidP="00AA009B">
            <w:pPr>
              <w:jc w:val="center"/>
            </w:pPr>
            <w:r>
              <w:rPr>
                <w:rFonts w:ascii="標楷體" w:eastAsia="標楷體" w:hAnsi="標楷體"/>
                <w:noProof/>
              </w:rPr>
              <w:drawing>
                <wp:inline distT="0" distB="0" distL="0" distR="0" wp14:anchorId="07246CB8" wp14:editId="1B6B73C9">
                  <wp:extent cx="222636" cy="195005"/>
                  <wp:effectExtent l="0" t="0" r="6350" b="0"/>
                  <wp:docPr id="15" name="圖片 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c>
          <w:tcPr>
            <w:tcW w:w="2235" w:type="dxa"/>
            <w:shd w:val="clear" w:color="auto" w:fill="auto"/>
            <w:vAlign w:val="center"/>
          </w:tcPr>
          <w:p w14:paraId="7128C8EB" w14:textId="77777777" w:rsidR="00820B8A" w:rsidRPr="00E87318" w:rsidRDefault="00820B8A" w:rsidP="00ED70D7">
            <w:pPr>
              <w:rPr>
                <w:rFonts w:ascii="Times New Roman" w:eastAsia="標楷體" w:hAnsi="Times New Roman"/>
              </w:rPr>
            </w:pPr>
            <w:r w:rsidRPr="00E87318">
              <w:rPr>
                <w:rFonts w:ascii="Times New Roman" w:eastAsia="標楷體" w:hAnsi="Times New Roman"/>
              </w:rPr>
              <w:t>中華民國</w:t>
            </w:r>
            <w:r w:rsidRPr="00E87318">
              <w:rPr>
                <w:rFonts w:ascii="Times New Roman" w:eastAsia="標楷體" w:hAnsi="Times New Roman" w:hint="eastAsia"/>
              </w:rPr>
              <w:t>憲法</w:t>
            </w:r>
            <w:r w:rsidRPr="00BF513C">
              <w:rPr>
                <w:rFonts w:ascii="Times New Roman" w:eastAsia="標楷體" w:hAnsi="Times New Roman"/>
              </w:rPr>
              <w:t>釋字</w:t>
            </w:r>
            <w:r w:rsidRPr="00BF513C">
              <w:rPr>
                <w:rFonts w:ascii="Times New Roman" w:eastAsia="標楷體" w:hAnsi="Times New Roman" w:hint="eastAsia"/>
              </w:rPr>
              <w:t>第</w:t>
            </w:r>
            <w:r>
              <w:rPr>
                <w:rFonts w:ascii="Times New Roman" w:eastAsia="標楷體" w:hAnsi="Times New Roman" w:hint="eastAsia"/>
              </w:rPr>
              <w:t>462</w:t>
            </w:r>
            <w:r>
              <w:rPr>
                <w:rFonts w:ascii="Times New Roman" w:eastAsia="標楷體" w:hAnsi="Times New Roman"/>
              </w:rPr>
              <w:t>號解釋</w:t>
            </w:r>
            <w:r>
              <w:rPr>
                <w:rFonts w:ascii="Times New Roman" w:eastAsia="標楷體" w:hAnsi="Times New Roman" w:hint="eastAsia"/>
              </w:rPr>
              <w:t>理由書</w:t>
            </w:r>
            <w:r w:rsidRPr="00E87318">
              <w:rPr>
                <w:rFonts w:ascii="Times New Roman" w:eastAsia="標楷體" w:hAnsi="Times New Roman"/>
              </w:rPr>
              <w:t>，屬公共領域之著作。</w:t>
            </w:r>
          </w:p>
        </w:tc>
      </w:tr>
      <w:tr w:rsidR="00A67EB1" w:rsidRPr="00E87318" w14:paraId="327716BB" w14:textId="77777777" w:rsidTr="00A67EB1">
        <w:trPr>
          <w:trHeight w:val="260"/>
          <w:jc w:val="center"/>
        </w:trPr>
        <w:tc>
          <w:tcPr>
            <w:tcW w:w="882" w:type="dxa"/>
            <w:shd w:val="clear" w:color="auto" w:fill="auto"/>
            <w:vAlign w:val="center"/>
          </w:tcPr>
          <w:p w14:paraId="4C4DAC76" w14:textId="77777777" w:rsidR="00A67EB1" w:rsidRDefault="00A67EB1" w:rsidP="00AA009B">
            <w:pPr>
              <w:jc w:val="center"/>
              <w:rPr>
                <w:rFonts w:ascii="Times New Roman" w:eastAsia="標楷體" w:hAnsi="Times New Roman"/>
                <w:sz w:val="36"/>
                <w:szCs w:val="36"/>
              </w:rPr>
            </w:pPr>
            <w:r>
              <w:rPr>
                <w:rFonts w:ascii="Times New Roman" w:eastAsia="標楷體" w:hAnsi="Times New Roman" w:hint="eastAsia"/>
                <w:sz w:val="36"/>
                <w:szCs w:val="36"/>
              </w:rPr>
              <w:lastRenderedPageBreak/>
              <w:t>5</w:t>
            </w:r>
          </w:p>
        </w:tc>
        <w:tc>
          <w:tcPr>
            <w:tcW w:w="4252" w:type="dxa"/>
            <w:shd w:val="clear" w:color="auto" w:fill="auto"/>
            <w:vAlign w:val="center"/>
          </w:tcPr>
          <w:p w14:paraId="5ADE14D1" w14:textId="77777777" w:rsidR="00A67EB1" w:rsidRPr="00ED70D7" w:rsidRDefault="00A67EB1" w:rsidP="00ED70D7">
            <w:pPr>
              <w:rPr>
                <w:rFonts w:ascii="Times New Roman" w:eastAsia="標楷體" w:hAnsi="Times New Roman" w:cs="Times New Roman"/>
              </w:rPr>
            </w:pPr>
            <w:r w:rsidRPr="00ED70D7">
              <w:rPr>
                <w:rFonts w:ascii="Times New Roman" w:eastAsia="標楷體" w:hAnsi="Times New Roman" w:cs="Times New Roman"/>
              </w:rPr>
              <w:t>「中華民國人民，無分男女、宗教、種族、階級、黨派，在法律上一律平等。」</w:t>
            </w:r>
          </w:p>
        </w:tc>
        <w:tc>
          <w:tcPr>
            <w:tcW w:w="993" w:type="dxa"/>
            <w:shd w:val="clear" w:color="auto" w:fill="auto"/>
            <w:vAlign w:val="center"/>
          </w:tcPr>
          <w:p w14:paraId="14D169A0" w14:textId="77777777" w:rsidR="00A67EB1" w:rsidRDefault="00A67EB1" w:rsidP="00AA009B">
            <w:pPr>
              <w:jc w:val="center"/>
              <w:rPr>
                <w:rFonts w:ascii="標楷體" w:eastAsia="標楷體" w:hAnsi="標楷體"/>
                <w:noProof/>
              </w:rPr>
            </w:pPr>
            <w:r>
              <w:rPr>
                <w:rFonts w:ascii="標楷體" w:eastAsia="標楷體" w:hAnsi="標楷體"/>
                <w:noProof/>
              </w:rPr>
              <w:drawing>
                <wp:inline distT="0" distB="0" distL="0" distR="0" wp14:anchorId="0445AE8E" wp14:editId="00462A79">
                  <wp:extent cx="222636" cy="195005"/>
                  <wp:effectExtent l="0" t="0" r="6350" b="0"/>
                  <wp:docPr id="16" name="圖片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c>
          <w:tcPr>
            <w:tcW w:w="2235" w:type="dxa"/>
            <w:shd w:val="clear" w:color="auto" w:fill="auto"/>
            <w:vAlign w:val="center"/>
          </w:tcPr>
          <w:p w14:paraId="40CDCE7B" w14:textId="77777777" w:rsidR="00A67EB1" w:rsidRPr="00E87318" w:rsidRDefault="00A67EB1" w:rsidP="00ED70D7">
            <w:pPr>
              <w:rPr>
                <w:rFonts w:ascii="Times New Roman" w:eastAsia="標楷體" w:hAnsi="Times New Roman"/>
              </w:rPr>
            </w:pPr>
            <w:r w:rsidRPr="00E87318">
              <w:rPr>
                <w:rFonts w:ascii="Times New Roman" w:eastAsia="標楷體" w:hAnsi="Times New Roman"/>
              </w:rPr>
              <w:t>中華民國</w:t>
            </w:r>
            <w:r w:rsidRPr="00E87318">
              <w:rPr>
                <w:rFonts w:ascii="Times New Roman" w:eastAsia="標楷體" w:hAnsi="Times New Roman" w:hint="eastAsia"/>
              </w:rPr>
              <w:t>憲法</w:t>
            </w:r>
            <w:r>
              <w:rPr>
                <w:rFonts w:ascii="Times New Roman" w:eastAsia="標楷體" w:hAnsi="Times New Roman" w:hint="eastAsia"/>
              </w:rPr>
              <w:t>第</w:t>
            </w:r>
            <w:r>
              <w:rPr>
                <w:rFonts w:ascii="Times New Roman" w:eastAsia="標楷體" w:hAnsi="Times New Roman" w:hint="eastAsia"/>
              </w:rPr>
              <w:t>7</w:t>
            </w:r>
            <w:r>
              <w:rPr>
                <w:rFonts w:ascii="Times New Roman" w:eastAsia="標楷體" w:hAnsi="Times New Roman" w:hint="eastAsia"/>
              </w:rPr>
              <w:t>條，</w:t>
            </w:r>
            <w:r w:rsidRPr="00E87318">
              <w:rPr>
                <w:rFonts w:ascii="Times New Roman" w:eastAsia="標楷體" w:hAnsi="Times New Roman"/>
              </w:rPr>
              <w:t>屬公共領域之著作。</w:t>
            </w:r>
          </w:p>
        </w:tc>
      </w:tr>
      <w:tr w:rsidR="00A67EB1" w:rsidRPr="00E87318" w14:paraId="6B9670DD" w14:textId="77777777" w:rsidTr="00A67EB1">
        <w:trPr>
          <w:trHeight w:val="133"/>
          <w:jc w:val="center"/>
        </w:trPr>
        <w:tc>
          <w:tcPr>
            <w:tcW w:w="882" w:type="dxa"/>
            <w:shd w:val="clear" w:color="auto" w:fill="auto"/>
            <w:vAlign w:val="center"/>
          </w:tcPr>
          <w:p w14:paraId="1DAFD9CE" w14:textId="77777777" w:rsidR="00A67EB1" w:rsidRDefault="00A67EB1" w:rsidP="00AA009B">
            <w:pPr>
              <w:jc w:val="center"/>
              <w:rPr>
                <w:rFonts w:ascii="Times New Roman" w:eastAsia="標楷體" w:hAnsi="Times New Roman"/>
                <w:sz w:val="36"/>
                <w:szCs w:val="36"/>
              </w:rPr>
            </w:pPr>
            <w:r>
              <w:rPr>
                <w:rFonts w:ascii="Times New Roman" w:eastAsia="標楷體" w:hAnsi="Times New Roman" w:hint="eastAsia"/>
                <w:sz w:val="36"/>
                <w:szCs w:val="36"/>
              </w:rPr>
              <w:t>5</w:t>
            </w:r>
          </w:p>
        </w:tc>
        <w:tc>
          <w:tcPr>
            <w:tcW w:w="4252" w:type="dxa"/>
            <w:shd w:val="clear" w:color="auto" w:fill="auto"/>
            <w:vAlign w:val="center"/>
          </w:tcPr>
          <w:p w14:paraId="7E436D74" w14:textId="77777777" w:rsidR="00A67EB1" w:rsidRPr="00ED70D7" w:rsidRDefault="00A67EB1" w:rsidP="00ED70D7">
            <w:pPr>
              <w:rPr>
                <w:rFonts w:ascii="Times New Roman" w:eastAsia="標楷體" w:hAnsi="Times New Roman" w:cs="Times New Roman"/>
              </w:rPr>
            </w:pPr>
            <w:r w:rsidRPr="00ED70D7">
              <w:rPr>
                <w:rFonts w:ascii="Times New Roman" w:eastAsia="標楷體" w:hAnsi="Times New Roman" w:cs="Times New Roman"/>
              </w:rPr>
              <w:t>「人民有受國民教育之權利與義務。」</w:t>
            </w:r>
          </w:p>
        </w:tc>
        <w:tc>
          <w:tcPr>
            <w:tcW w:w="993" w:type="dxa"/>
            <w:shd w:val="clear" w:color="auto" w:fill="auto"/>
            <w:vAlign w:val="center"/>
          </w:tcPr>
          <w:p w14:paraId="7BCAEF20" w14:textId="77777777" w:rsidR="00A67EB1" w:rsidRDefault="00A67EB1" w:rsidP="00AA009B">
            <w:pPr>
              <w:jc w:val="center"/>
              <w:rPr>
                <w:rFonts w:ascii="標楷體" w:eastAsia="標楷體" w:hAnsi="標楷體"/>
                <w:noProof/>
              </w:rPr>
            </w:pPr>
            <w:r>
              <w:rPr>
                <w:rFonts w:ascii="標楷體" w:eastAsia="標楷體" w:hAnsi="標楷體"/>
                <w:noProof/>
              </w:rPr>
              <w:drawing>
                <wp:inline distT="0" distB="0" distL="0" distR="0" wp14:anchorId="1ED80FDE" wp14:editId="61E57C0F">
                  <wp:extent cx="222636" cy="195005"/>
                  <wp:effectExtent l="0" t="0" r="6350" b="0"/>
                  <wp:docPr id="17" name="圖片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c>
          <w:tcPr>
            <w:tcW w:w="2235" w:type="dxa"/>
            <w:shd w:val="clear" w:color="auto" w:fill="auto"/>
            <w:vAlign w:val="center"/>
          </w:tcPr>
          <w:p w14:paraId="3344A5B9" w14:textId="77777777" w:rsidR="00A67EB1" w:rsidRPr="00E87318" w:rsidRDefault="00A67EB1" w:rsidP="00ED70D7">
            <w:pPr>
              <w:rPr>
                <w:rFonts w:ascii="Times New Roman" w:eastAsia="標楷體" w:hAnsi="Times New Roman"/>
              </w:rPr>
            </w:pPr>
            <w:r w:rsidRPr="00E87318">
              <w:rPr>
                <w:rFonts w:ascii="Times New Roman" w:eastAsia="標楷體" w:hAnsi="Times New Roman"/>
              </w:rPr>
              <w:t>中華民國</w:t>
            </w:r>
            <w:r w:rsidRPr="00E87318">
              <w:rPr>
                <w:rFonts w:ascii="Times New Roman" w:eastAsia="標楷體" w:hAnsi="Times New Roman" w:hint="eastAsia"/>
              </w:rPr>
              <w:t>憲法</w:t>
            </w:r>
            <w:r>
              <w:rPr>
                <w:rFonts w:ascii="Times New Roman" w:eastAsia="標楷體" w:hAnsi="Times New Roman" w:hint="eastAsia"/>
              </w:rPr>
              <w:t>第</w:t>
            </w:r>
            <w:r>
              <w:rPr>
                <w:rFonts w:ascii="Times New Roman" w:eastAsia="標楷體" w:hAnsi="Times New Roman" w:hint="eastAsia"/>
              </w:rPr>
              <w:t>21</w:t>
            </w:r>
            <w:r>
              <w:rPr>
                <w:rFonts w:ascii="Times New Roman" w:eastAsia="標楷體" w:hAnsi="Times New Roman" w:hint="eastAsia"/>
              </w:rPr>
              <w:t>條，</w:t>
            </w:r>
            <w:r w:rsidRPr="00E87318">
              <w:rPr>
                <w:rFonts w:ascii="Times New Roman" w:eastAsia="標楷體" w:hAnsi="Times New Roman"/>
              </w:rPr>
              <w:t>屬公共領域之著作。</w:t>
            </w:r>
          </w:p>
        </w:tc>
      </w:tr>
      <w:tr w:rsidR="00A67EB1" w:rsidRPr="00E87318" w14:paraId="6D2ABC78" w14:textId="77777777" w:rsidTr="00A67EB1">
        <w:trPr>
          <w:trHeight w:val="220"/>
          <w:jc w:val="center"/>
        </w:trPr>
        <w:tc>
          <w:tcPr>
            <w:tcW w:w="882" w:type="dxa"/>
            <w:shd w:val="clear" w:color="auto" w:fill="auto"/>
            <w:vAlign w:val="center"/>
          </w:tcPr>
          <w:p w14:paraId="0574B324" w14:textId="77777777" w:rsidR="00A67EB1" w:rsidRDefault="00A67EB1" w:rsidP="00AA009B">
            <w:pPr>
              <w:jc w:val="center"/>
              <w:rPr>
                <w:rFonts w:ascii="Times New Roman" w:eastAsia="標楷體" w:hAnsi="Times New Roman"/>
                <w:sz w:val="36"/>
                <w:szCs w:val="36"/>
              </w:rPr>
            </w:pPr>
            <w:r>
              <w:rPr>
                <w:rFonts w:ascii="Times New Roman" w:eastAsia="標楷體" w:hAnsi="Times New Roman" w:hint="eastAsia"/>
                <w:sz w:val="36"/>
                <w:szCs w:val="36"/>
              </w:rPr>
              <w:t>5</w:t>
            </w:r>
          </w:p>
        </w:tc>
        <w:tc>
          <w:tcPr>
            <w:tcW w:w="4252" w:type="dxa"/>
            <w:shd w:val="clear" w:color="auto" w:fill="auto"/>
            <w:vAlign w:val="center"/>
          </w:tcPr>
          <w:p w14:paraId="6909326F" w14:textId="77777777" w:rsidR="00A67EB1" w:rsidRPr="00ED70D7" w:rsidRDefault="00A67EB1" w:rsidP="00ED70D7">
            <w:pPr>
              <w:rPr>
                <w:rFonts w:ascii="Times New Roman" w:eastAsia="標楷體" w:hAnsi="Times New Roman" w:cs="Times New Roman"/>
              </w:rPr>
            </w:pPr>
            <w:r w:rsidRPr="00ED70D7">
              <w:rPr>
                <w:rFonts w:ascii="Times New Roman" w:eastAsia="標楷體" w:hAnsi="Times New Roman" w:cs="Times New Roman"/>
              </w:rPr>
              <w:t>「國民受教育之機會，一律平等。」</w:t>
            </w:r>
          </w:p>
        </w:tc>
        <w:tc>
          <w:tcPr>
            <w:tcW w:w="993" w:type="dxa"/>
            <w:shd w:val="clear" w:color="auto" w:fill="auto"/>
            <w:vAlign w:val="center"/>
          </w:tcPr>
          <w:p w14:paraId="20E0BBAB" w14:textId="77777777" w:rsidR="00A67EB1" w:rsidRDefault="00A67EB1" w:rsidP="00AA009B">
            <w:pPr>
              <w:jc w:val="center"/>
              <w:rPr>
                <w:rFonts w:ascii="標楷體" w:eastAsia="標楷體" w:hAnsi="標楷體"/>
                <w:noProof/>
              </w:rPr>
            </w:pPr>
            <w:r>
              <w:rPr>
                <w:rFonts w:ascii="標楷體" w:eastAsia="標楷體" w:hAnsi="標楷體"/>
                <w:noProof/>
              </w:rPr>
              <w:drawing>
                <wp:inline distT="0" distB="0" distL="0" distR="0" wp14:anchorId="3BD52D75" wp14:editId="7C3DAB74">
                  <wp:extent cx="222636" cy="195005"/>
                  <wp:effectExtent l="0" t="0" r="6350" b="0"/>
                  <wp:docPr id="18" name="圖片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c>
          <w:tcPr>
            <w:tcW w:w="2235" w:type="dxa"/>
            <w:shd w:val="clear" w:color="auto" w:fill="auto"/>
            <w:vAlign w:val="center"/>
          </w:tcPr>
          <w:p w14:paraId="688C65D0" w14:textId="77777777" w:rsidR="00A67EB1" w:rsidRPr="00E87318" w:rsidRDefault="00A67EB1" w:rsidP="00ED70D7">
            <w:pPr>
              <w:rPr>
                <w:rFonts w:ascii="Times New Roman" w:eastAsia="標楷體" w:hAnsi="Times New Roman"/>
              </w:rPr>
            </w:pPr>
            <w:r w:rsidRPr="00E87318">
              <w:rPr>
                <w:rFonts w:ascii="Times New Roman" w:eastAsia="標楷體" w:hAnsi="Times New Roman"/>
              </w:rPr>
              <w:t>中華民國</w:t>
            </w:r>
            <w:r w:rsidRPr="00E87318">
              <w:rPr>
                <w:rFonts w:ascii="Times New Roman" w:eastAsia="標楷體" w:hAnsi="Times New Roman" w:hint="eastAsia"/>
              </w:rPr>
              <w:t>憲法</w:t>
            </w:r>
            <w:r>
              <w:rPr>
                <w:rFonts w:ascii="Times New Roman" w:eastAsia="標楷體" w:hAnsi="Times New Roman" w:hint="eastAsia"/>
              </w:rPr>
              <w:t>第</w:t>
            </w:r>
            <w:r>
              <w:rPr>
                <w:rFonts w:ascii="Times New Roman" w:eastAsia="標楷體" w:hAnsi="Times New Roman" w:hint="eastAsia"/>
              </w:rPr>
              <w:t>159</w:t>
            </w:r>
            <w:r>
              <w:rPr>
                <w:rFonts w:ascii="Times New Roman" w:eastAsia="標楷體" w:hAnsi="Times New Roman" w:hint="eastAsia"/>
              </w:rPr>
              <w:t>條，</w:t>
            </w:r>
            <w:r w:rsidRPr="00E87318">
              <w:rPr>
                <w:rFonts w:ascii="Times New Roman" w:eastAsia="標楷體" w:hAnsi="Times New Roman"/>
              </w:rPr>
              <w:t>屬公共領域之著作。</w:t>
            </w:r>
          </w:p>
        </w:tc>
      </w:tr>
      <w:tr w:rsidR="00A67EB1" w:rsidRPr="00E87318" w14:paraId="5883F1FC" w14:textId="77777777" w:rsidTr="00AA009B">
        <w:trPr>
          <w:trHeight w:val="200"/>
          <w:jc w:val="center"/>
        </w:trPr>
        <w:tc>
          <w:tcPr>
            <w:tcW w:w="882" w:type="dxa"/>
            <w:shd w:val="clear" w:color="auto" w:fill="auto"/>
            <w:vAlign w:val="center"/>
          </w:tcPr>
          <w:p w14:paraId="1B8D349E" w14:textId="77777777" w:rsidR="00A67EB1" w:rsidRDefault="00A67EB1" w:rsidP="00AA009B">
            <w:pPr>
              <w:jc w:val="center"/>
              <w:rPr>
                <w:rFonts w:ascii="Times New Roman" w:eastAsia="標楷體" w:hAnsi="Times New Roman"/>
                <w:sz w:val="36"/>
                <w:szCs w:val="36"/>
              </w:rPr>
            </w:pPr>
            <w:r>
              <w:rPr>
                <w:rFonts w:ascii="Times New Roman" w:eastAsia="標楷體" w:hAnsi="Times New Roman" w:hint="eastAsia"/>
                <w:sz w:val="36"/>
                <w:szCs w:val="36"/>
              </w:rPr>
              <w:t>5</w:t>
            </w:r>
          </w:p>
        </w:tc>
        <w:tc>
          <w:tcPr>
            <w:tcW w:w="4252" w:type="dxa"/>
            <w:shd w:val="clear" w:color="auto" w:fill="auto"/>
            <w:vAlign w:val="center"/>
          </w:tcPr>
          <w:p w14:paraId="13284FF7" w14:textId="77777777" w:rsidR="00A67EB1" w:rsidRPr="00ED70D7" w:rsidRDefault="00A67EB1" w:rsidP="00ED70D7">
            <w:pPr>
              <w:rPr>
                <w:rFonts w:ascii="Times New Roman" w:eastAsia="標楷體" w:hAnsi="Times New Roman" w:cs="Times New Roman"/>
              </w:rPr>
            </w:pPr>
            <w:r w:rsidRPr="00ED70D7">
              <w:rPr>
                <w:rFonts w:ascii="Times New Roman" w:eastAsia="標楷體" w:hAnsi="Times New Roman" w:cs="Times New Roman"/>
              </w:rPr>
              <w:t>「全國公私立之教育文化機關，依法律受國家之監督。」</w:t>
            </w:r>
          </w:p>
        </w:tc>
        <w:tc>
          <w:tcPr>
            <w:tcW w:w="993" w:type="dxa"/>
            <w:shd w:val="clear" w:color="auto" w:fill="auto"/>
            <w:vAlign w:val="center"/>
          </w:tcPr>
          <w:p w14:paraId="0C9083E9" w14:textId="77777777" w:rsidR="00A67EB1" w:rsidRDefault="00A67EB1" w:rsidP="00AA009B">
            <w:pPr>
              <w:jc w:val="center"/>
              <w:rPr>
                <w:rFonts w:ascii="標楷體" w:eastAsia="標楷體" w:hAnsi="標楷體"/>
                <w:noProof/>
              </w:rPr>
            </w:pPr>
            <w:r>
              <w:rPr>
                <w:rFonts w:ascii="標楷體" w:eastAsia="標楷體" w:hAnsi="標楷體"/>
                <w:noProof/>
              </w:rPr>
              <w:drawing>
                <wp:inline distT="0" distB="0" distL="0" distR="0" wp14:anchorId="64E78C0E" wp14:editId="21F4EC4D">
                  <wp:extent cx="222636" cy="195005"/>
                  <wp:effectExtent l="0" t="0" r="6350" b="0"/>
                  <wp:docPr id="19" name="圖片 1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c>
          <w:tcPr>
            <w:tcW w:w="2235" w:type="dxa"/>
            <w:shd w:val="clear" w:color="auto" w:fill="auto"/>
            <w:vAlign w:val="center"/>
          </w:tcPr>
          <w:p w14:paraId="1F213892" w14:textId="77777777" w:rsidR="00A67EB1" w:rsidRPr="00E87318" w:rsidRDefault="00A67EB1" w:rsidP="00ED70D7">
            <w:pPr>
              <w:rPr>
                <w:rFonts w:ascii="Times New Roman" w:eastAsia="標楷體" w:hAnsi="Times New Roman"/>
              </w:rPr>
            </w:pPr>
            <w:r w:rsidRPr="00E87318">
              <w:rPr>
                <w:rFonts w:ascii="Times New Roman" w:eastAsia="標楷體" w:hAnsi="Times New Roman"/>
              </w:rPr>
              <w:t>中華民國</w:t>
            </w:r>
            <w:r w:rsidRPr="00E87318">
              <w:rPr>
                <w:rFonts w:ascii="Times New Roman" w:eastAsia="標楷體" w:hAnsi="Times New Roman" w:hint="eastAsia"/>
              </w:rPr>
              <w:t>憲法</w:t>
            </w:r>
            <w:r>
              <w:rPr>
                <w:rFonts w:ascii="Times New Roman" w:eastAsia="標楷體" w:hAnsi="Times New Roman" w:hint="eastAsia"/>
              </w:rPr>
              <w:t>第</w:t>
            </w:r>
            <w:r>
              <w:rPr>
                <w:rFonts w:ascii="Times New Roman" w:eastAsia="標楷體" w:hAnsi="Times New Roman" w:hint="eastAsia"/>
              </w:rPr>
              <w:t>162</w:t>
            </w:r>
            <w:r>
              <w:rPr>
                <w:rFonts w:ascii="Times New Roman" w:eastAsia="標楷體" w:hAnsi="Times New Roman" w:hint="eastAsia"/>
              </w:rPr>
              <w:t>條，</w:t>
            </w:r>
            <w:r w:rsidRPr="00E87318">
              <w:rPr>
                <w:rFonts w:ascii="Times New Roman" w:eastAsia="標楷體" w:hAnsi="Times New Roman"/>
              </w:rPr>
              <w:t>屬公共領域之著作。</w:t>
            </w:r>
          </w:p>
        </w:tc>
      </w:tr>
    </w:tbl>
    <w:p w14:paraId="58E72C2F" w14:textId="77777777" w:rsidR="006E766D" w:rsidRPr="00EF2987" w:rsidRDefault="006E766D" w:rsidP="00A67EB1">
      <w:pPr>
        <w:widowControl/>
        <w:rPr>
          <w:rFonts w:ascii="Times New Roman" w:hAnsi="Times New Roman" w:cs="Times New Roman"/>
        </w:rPr>
      </w:pPr>
    </w:p>
    <w:sectPr w:rsidR="006E766D" w:rsidRPr="00EF2987" w:rsidSect="00821E6B">
      <w:headerReference w:type="default" r:id="rId25"/>
      <w:footerReference w:type="default" r:id="rId26"/>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9946B" w14:textId="77777777" w:rsidR="0067682C" w:rsidRDefault="0067682C" w:rsidP="001344E5">
      <w:r>
        <w:separator/>
      </w:r>
    </w:p>
  </w:endnote>
  <w:endnote w:type="continuationSeparator" w:id="0">
    <w:p w14:paraId="55876DF4" w14:textId="77777777" w:rsidR="0067682C" w:rsidRDefault="0067682C" w:rsidP="0013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18724"/>
      <w:docPartObj>
        <w:docPartGallery w:val="Page Numbers (Bottom of Page)"/>
        <w:docPartUnique/>
      </w:docPartObj>
    </w:sdtPr>
    <w:sdtEndPr>
      <w:rPr>
        <w:rFonts w:ascii="Times New Roman" w:eastAsia="標楷體" w:hAnsi="Times New Roman" w:cs="Times New Roman"/>
      </w:rPr>
    </w:sdtEndPr>
    <w:sdtContent>
      <w:p w14:paraId="0BDA1050" w14:textId="22DD9C0A" w:rsidR="00F8375E" w:rsidRPr="00ED70D7" w:rsidRDefault="00ED70D7">
        <w:pPr>
          <w:pStyle w:val="a7"/>
          <w:jc w:val="center"/>
          <w:rPr>
            <w:rFonts w:ascii="Times New Roman" w:eastAsia="標楷體" w:hAnsi="Times New Roman" w:cs="Times New Roman"/>
          </w:rPr>
        </w:pPr>
        <w:r w:rsidRPr="00ED70D7">
          <w:rPr>
            <w:rFonts w:ascii="Times New Roman" w:eastAsia="標楷體" w:hAnsi="Times New Roman" w:cs="Times New Roman"/>
          </w:rPr>
          <w:t>第</w:t>
        </w:r>
        <w:r w:rsidR="00F8375E" w:rsidRPr="00ED70D7">
          <w:rPr>
            <w:rFonts w:ascii="Times New Roman" w:eastAsia="標楷體" w:hAnsi="Times New Roman" w:cs="Times New Roman"/>
          </w:rPr>
          <w:fldChar w:fldCharType="begin"/>
        </w:r>
        <w:r w:rsidR="00F8375E" w:rsidRPr="00ED70D7">
          <w:rPr>
            <w:rFonts w:ascii="Times New Roman" w:eastAsia="標楷體" w:hAnsi="Times New Roman" w:cs="Times New Roman"/>
          </w:rPr>
          <w:instrText>PAGE   \* MERGEFORMAT</w:instrText>
        </w:r>
        <w:r w:rsidR="00F8375E" w:rsidRPr="00ED70D7">
          <w:rPr>
            <w:rFonts w:ascii="Times New Roman" w:eastAsia="標楷體" w:hAnsi="Times New Roman" w:cs="Times New Roman"/>
          </w:rPr>
          <w:fldChar w:fldCharType="separate"/>
        </w:r>
        <w:r w:rsidR="00686BAE" w:rsidRPr="00686BAE">
          <w:rPr>
            <w:rFonts w:ascii="Times New Roman" w:eastAsia="標楷體" w:hAnsi="Times New Roman" w:cs="Times New Roman"/>
            <w:noProof/>
            <w:lang w:val="zh-TW"/>
          </w:rPr>
          <w:t>1</w:t>
        </w:r>
        <w:r w:rsidR="00F8375E" w:rsidRPr="00ED70D7">
          <w:rPr>
            <w:rFonts w:ascii="Times New Roman" w:eastAsia="標楷體" w:hAnsi="Times New Roman" w:cs="Times New Roman"/>
          </w:rPr>
          <w:fldChar w:fldCharType="end"/>
        </w:r>
        <w:r w:rsidRPr="00ED70D7">
          <w:rPr>
            <w:rFonts w:ascii="Times New Roman" w:eastAsia="標楷體" w:hAnsi="Times New Roman" w:cs="Times New Roman"/>
          </w:rPr>
          <w:t>頁，共</w:t>
        </w:r>
        <w:r w:rsidRPr="00ED70D7">
          <w:rPr>
            <w:rFonts w:ascii="Times New Roman" w:eastAsia="標楷體" w:hAnsi="Times New Roman" w:cs="Times New Roman"/>
          </w:rPr>
          <w:t>9</w:t>
        </w:r>
        <w:r w:rsidRPr="00ED70D7">
          <w:rPr>
            <w:rFonts w:ascii="Times New Roman" w:eastAsia="標楷體" w:hAnsi="Times New Roman" w:cs="Times New Roman"/>
          </w:rPr>
          <w:t>頁。</w:t>
        </w:r>
      </w:p>
    </w:sdtContent>
  </w:sdt>
  <w:p w14:paraId="47B07FF0" w14:textId="77777777" w:rsidR="00F8375E" w:rsidRDefault="00F837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CA592" w14:textId="77777777" w:rsidR="0067682C" w:rsidRDefault="0067682C" w:rsidP="001344E5">
      <w:r>
        <w:separator/>
      </w:r>
    </w:p>
  </w:footnote>
  <w:footnote w:type="continuationSeparator" w:id="0">
    <w:p w14:paraId="213B0392" w14:textId="77777777" w:rsidR="0067682C" w:rsidRDefault="0067682C" w:rsidP="00134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0820" w14:textId="77777777" w:rsidR="00F8375E" w:rsidRDefault="00F8375E" w:rsidP="001344E5">
    <w:pPr>
      <w:pStyle w:val="a5"/>
      <w:jc w:val="center"/>
    </w:pPr>
    <w:r>
      <w:rPr>
        <w:b/>
        <w:noProof/>
        <w:szCs w:val="28"/>
      </w:rPr>
      <w:drawing>
        <wp:inline distT="0" distB="0" distL="0" distR="0" wp14:anchorId="70670CAC" wp14:editId="3C5E0A69">
          <wp:extent cx="1324610" cy="439420"/>
          <wp:effectExtent l="0" t="0" r="8890" b="0"/>
          <wp:docPr id="1" name="圖片 1" descr="描述: O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OC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439420"/>
                  </a:xfrm>
                  <a:prstGeom prst="rect">
                    <a:avLst/>
                  </a:prstGeom>
                  <a:noFill/>
                  <a:ln>
                    <a:noFill/>
                  </a:ln>
                </pic:spPr>
              </pic:pic>
            </a:graphicData>
          </a:graphic>
        </wp:inline>
      </w:drawing>
    </w:r>
  </w:p>
  <w:p w14:paraId="4135AE5C" w14:textId="77777777" w:rsidR="00F8375E" w:rsidRDefault="00F837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73A"/>
    <w:multiLevelType w:val="hybridMultilevel"/>
    <w:tmpl w:val="9E083F40"/>
    <w:lvl w:ilvl="0" w:tplc="C71AA9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8265AEA"/>
    <w:multiLevelType w:val="hybridMultilevel"/>
    <w:tmpl w:val="33662BF2"/>
    <w:lvl w:ilvl="0" w:tplc="3B5ED95C">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2">
    <w:nsid w:val="08DC15FC"/>
    <w:multiLevelType w:val="hybridMultilevel"/>
    <w:tmpl w:val="95402186"/>
    <w:lvl w:ilvl="0" w:tplc="DEC27082">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3">
    <w:nsid w:val="0B724096"/>
    <w:multiLevelType w:val="hybridMultilevel"/>
    <w:tmpl w:val="75942D12"/>
    <w:lvl w:ilvl="0" w:tplc="2898C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4B7D0F"/>
    <w:multiLevelType w:val="hybridMultilevel"/>
    <w:tmpl w:val="D428ACBE"/>
    <w:lvl w:ilvl="0" w:tplc="70201EC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42B6A01"/>
    <w:multiLevelType w:val="hybridMultilevel"/>
    <w:tmpl w:val="E1749AAC"/>
    <w:lvl w:ilvl="0" w:tplc="58201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1B4BFF"/>
    <w:multiLevelType w:val="hybridMultilevel"/>
    <w:tmpl w:val="5E2AD7DA"/>
    <w:lvl w:ilvl="0" w:tplc="4EB04BCC">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7">
    <w:nsid w:val="186470AC"/>
    <w:multiLevelType w:val="hybridMultilevel"/>
    <w:tmpl w:val="B37C19A8"/>
    <w:lvl w:ilvl="0" w:tplc="EE18B6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9DC54B4"/>
    <w:multiLevelType w:val="hybridMultilevel"/>
    <w:tmpl w:val="420E7EF6"/>
    <w:lvl w:ilvl="0" w:tplc="C4CAFDE0">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1FEF3B73"/>
    <w:multiLevelType w:val="hybridMultilevel"/>
    <w:tmpl w:val="5CCE9D2A"/>
    <w:lvl w:ilvl="0" w:tplc="9B6E6C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346360"/>
    <w:multiLevelType w:val="hybridMultilevel"/>
    <w:tmpl w:val="B50E6F9C"/>
    <w:lvl w:ilvl="0" w:tplc="615A325E">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6D03F74"/>
    <w:multiLevelType w:val="hybridMultilevel"/>
    <w:tmpl w:val="F472669A"/>
    <w:lvl w:ilvl="0" w:tplc="A606AE54">
      <w:start w:val="1"/>
      <w:numFmt w:val="japaneseCounting"/>
      <w:lvlText w:val="（%1）"/>
      <w:lvlJc w:val="left"/>
      <w:pPr>
        <w:ind w:left="2160" w:hanging="720"/>
      </w:pPr>
      <w:rPr>
        <w:rFonts w:hint="eastAsia"/>
        <w:lang w:val="en-US"/>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12">
    <w:nsid w:val="28A32D8C"/>
    <w:multiLevelType w:val="hybridMultilevel"/>
    <w:tmpl w:val="A98E3876"/>
    <w:lvl w:ilvl="0" w:tplc="E2042D64">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13">
    <w:nsid w:val="29E746AC"/>
    <w:multiLevelType w:val="hybridMultilevel"/>
    <w:tmpl w:val="BC28ED10"/>
    <w:lvl w:ilvl="0" w:tplc="B7863912">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4">
    <w:nsid w:val="351639A0"/>
    <w:multiLevelType w:val="hybridMultilevel"/>
    <w:tmpl w:val="A17241FC"/>
    <w:lvl w:ilvl="0" w:tplc="DCE018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375C0DAE"/>
    <w:multiLevelType w:val="hybridMultilevel"/>
    <w:tmpl w:val="AB44BF5C"/>
    <w:lvl w:ilvl="0" w:tplc="530A05CC">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16">
    <w:nsid w:val="424634AC"/>
    <w:multiLevelType w:val="hybridMultilevel"/>
    <w:tmpl w:val="39DC2CEC"/>
    <w:lvl w:ilvl="0" w:tplc="B6BA7356">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7">
    <w:nsid w:val="43FF3F66"/>
    <w:multiLevelType w:val="hybridMultilevel"/>
    <w:tmpl w:val="0ED686E6"/>
    <w:lvl w:ilvl="0" w:tplc="46AC8A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4664EBC"/>
    <w:multiLevelType w:val="hybridMultilevel"/>
    <w:tmpl w:val="97948AE4"/>
    <w:lvl w:ilvl="0" w:tplc="91388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BC367A"/>
    <w:multiLevelType w:val="hybridMultilevel"/>
    <w:tmpl w:val="9F086AF0"/>
    <w:lvl w:ilvl="0" w:tplc="5622C6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52D86253"/>
    <w:multiLevelType w:val="hybridMultilevel"/>
    <w:tmpl w:val="45961006"/>
    <w:lvl w:ilvl="0" w:tplc="22FEBB7E">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21">
    <w:nsid w:val="6354588B"/>
    <w:multiLevelType w:val="hybridMultilevel"/>
    <w:tmpl w:val="FEA6A910"/>
    <w:lvl w:ilvl="0" w:tplc="8BBAE4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7CD79C7"/>
    <w:multiLevelType w:val="hybridMultilevel"/>
    <w:tmpl w:val="BA364C8E"/>
    <w:lvl w:ilvl="0" w:tplc="9B56C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E54911"/>
    <w:multiLevelType w:val="hybridMultilevel"/>
    <w:tmpl w:val="C61A5C92"/>
    <w:lvl w:ilvl="0" w:tplc="779AB4E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6E7F4B29"/>
    <w:multiLevelType w:val="hybridMultilevel"/>
    <w:tmpl w:val="991C6358"/>
    <w:lvl w:ilvl="0" w:tplc="EEA25DD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C42108"/>
    <w:multiLevelType w:val="hybridMultilevel"/>
    <w:tmpl w:val="CBC4D69C"/>
    <w:lvl w:ilvl="0" w:tplc="5B4603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72086441"/>
    <w:multiLevelType w:val="hybridMultilevel"/>
    <w:tmpl w:val="C518D074"/>
    <w:lvl w:ilvl="0" w:tplc="326CC3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0566B6"/>
    <w:multiLevelType w:val="hybridMultilevel"/>
    <w:tmpl w:val="A614C2E4"/>
    <w:lvl w:ilvl="0" w:tplc="2E9EC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041094"/>
    <w:multiLevelType w:val="hybridMultilevel"/>
    <w:tmpl w:val="1750B97E"/>
    <w:lvl w:ilvl="0" w:tplc="A7C014C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74F062A5"/>
    <w:multiLevelType w:val="hybridMultilevel"/>
    <w:tmpl w:val="05C6DFE6"/>
    <w:lvl w:ilvl="0" w:tplc="403EFD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
  </w:num>
  <w:num w:numId="2">
    <w:abstractNumId w:val="2"/>
  </w:num>
  <w:num w:numId="3">
    <w:abstractNumId w:val="6"/>
  </w:num>
  <w:num w:numId="4">
    <w:abstractNumId w:val="16"/>
  </w:num>
  <w:num w:numId="5">
    <w:abstractNumId w:val="20"/>
  </w:num>
  <w:num w:numId="6">
    <w:abstractNumId w:val="13"/>
  </w:num>
  <w:num w:numId="7">
    <w:abstractNumId w:val="15"/>
  </w:num>
  <w:num w:numId="8">
    <w:abstractNumId w:val="11"/>
  </w:num>
  <w:num w:numId="9">
    <w:abstractNumId w:val="1"/>
  </w:num>
  <w:num w:numId="10">
    <w:abstractNumId w:val="12"/>
  </w:num>
  <w:num w:numId="11">
    <w:abstractNumId w:val="21"/>
  </w:num>
  <w:num w:numId="12">
    <w:abstractNumId w:val="7"/>
  </w:num>
  <w:num w:numId="13">
    <w:abstractNumId w:val="24"/>
  </w:num>
  <w:num w:numId="14">
    <w:abstractNumId w:val="26"/>
  </w:num>
  <w:num w:numId="15">
    <w:abstractNumId w:val="9"/>
  </w:num>
  <w:num w:numId="16">
    <w:abstractNumId w:val="19"/>
  </w:num>
  <w:num w:numId="17">
    <w:abstractNumId w:val="28"/>
  </w:num>
  <w:num w:numId="18">
    <w:abstractNumId w:val="25"/>
  </w:num>
  <w:num w:numId="19">
    <w:abstractNumId w:val="0"/>
  </w:num>
  <w:num w:numId="20">
    <w:abstractNumId w:val="5"/>
  </w:num>
  <w:num w:numId="21">
    <w:abstractNumId w:val="3"/>
  </w:num>
  <w:num w:numId="22">
    <w:abstractNumId w:val="17"/>
  </w:num>
  <w:num w:numId="23">
    <w:abstractNumId w:val="18"/>
  </w:num>
  <w:num w:numId="24">
    <w:abstractNumId w:val="4"/>
  </w:num>
  <w:num w:numId="25">
    <w:abstractNumId w:val="27"/>
  </w:num>
  <w:num w:numId="26">
    <w:abstractNumId w:val="14"/>
  </w:num>
  <w:num w:numId="27">
    <w:abstractNumId w:val="23"/>
  </w:num>
  <w:num w:numId="28">
    <w:abstractNumId w:val="29"/>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79"/>
    <w:rsid w:val="000000CA"/>
    <w:rsid w:val="000227EB"/>
    <w:rsid w:val="000313E6"/>
    <w:rsid w:val="000323A5"/>
    <w:rsid w:val="000466C5"/>
    <w:rsid w:val="000573ED"/>
    <w:rsid w:val="000B4255"/>
    <w:rsid w:val="000F14F2"/>
    <w:rsid w:val="00101D08"/>
    <w:rsid w:val="001314DC"/>
    <w:rsid w:val="001344E5"/>
    <w:rsid w:val="00136E45"/>
    <w:rsid w:val="001750F7"/>
    <w:rsid w:val="00181C10"/>
    <w:rsid w:val="001952D3"/>
    <w:rsid w:val="001C37FE"/>
    <w:rsid w:val="002665B5"/>
    <w:rsid w:val="002C48D4"/>
    <w:rsid w:val="002F0F53"/>
    <w:rsid w:val="003010F7"/>
    <w:rsid w:val="0035120A"/>
    <w:rsid w:val="004C0016"/>
    <w:rsid w:val="004C1E66"/>
    <w:rsid w:val="004E0A0B"/>
    <w:rsid w:val="00514B75"/>
    <w:rsid w:val="00541E9E"/>
    <w:rsid w:val="005A41B0"/>
    <w:rsid w:val="005B27FA"/>
    <w:rsid w:val="005E49A4"/>
    <w:rsid w:val="005E6E05"/>
    <w:rsid w:val="005F4879"/>
    <w:rsid w:val="00613C23"/>
    <w:rsid w:val="006474AE"/>
    <w:rsid w:val="00673EFD"/>
    <w:rsid w:val="0067682C"/>
    <w:rsid w:val="00686BAE"/>
    <w:rsid w:val="0069410E"/>
    <w:rsid w:val="006A560A"/>
    <w:rsid w:val="006C7C0B"/>
    <w:rsid w:val="006E766D"/>
    <w:rsid w:val="00713F35"/>
    <w:rsid w:val="00754740"/>
    <w:rsid w:val="00767CD1"/>
    <w:rsid w:val="00781F47"/>
    <w:rsid w:val="00791C42"/>
    <w:rsid w:val="007A0310"/>
    <w:rsid w:val="007F5D4B"/>
    <w:rsid w:val="00820B8A"/>
    <w:rsid w:val="00821E6B"/>
    <w:rsid w:val="00837CFE"/>
    <w:rsid w:val="0085682B"/>
    <w:rsid w:val="008637F7"/>
    <w:rsid w:val="008846DA"/>
    <w:rsid w:val="008D3B3A"/>
    <w:rsid w:val="008E4336"/>
    <w:rsid w:val="00923C8E"/>
    <w:rsid w:val="00931648"/>
    <w:rsid w:val="009714D6"/>
    <w:rsid w:val="009B096B"/>
    <w:rsid w:val="009E77A8"/>
    <w:rsid w:val="00A017D3"/>
    <w:rsid w:val="00A01BB8"/>
    <w:rsid w:val="00A12548"/>
    <w:rsid w:val="00A40667"/>
    <w:rsid w:val="00A67EB1"/>
    <w:rsid w:val="00AA009B"/>
    <w:rsid w:val="00B012F3"/>
    <w:rsid w:val="00B959C0"/>
    <w:rsid w:val="00BB02A1"/>
    <w:rsid w:val="00BC0112"/>
    <w:rsid w:val="00BC47A2"/>
    <w:rsid w:val="00CB532D"/>
    <w:rsid w:val="00CD47D1"/>
    <w:rsid w:val="00CD61FD"/>
    <w:rsid w:val="00CF5031"/>
    <w:rsid w:val="00D52A0E"/>
    <w:rsid w:val="00D74848"/>
    <w:rsid w:val="00DF50C3"/>
    <w:rsid w:val="00E01A84"/>
    <w:rsid w:val="00E13E6B"/>
    <w:rsid w:val="00E80621"/>
    <w:rsid w:val="00E82CAC"/>
    <w:rsid w:val="00EA69D5"/>
    <w:rsid w:val="00ED70D7"/>
    <w:rsid w:val="00EF2987"/>
    <w:rsid w:val="00F71279"/>
    <w:rsid w:val="00F8375E"/>
    <w:rsid w:val="00FA4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8E94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79"/>
    <w:pPr>
      <w:ind w:leftChars="200" w:left="480"/>
    </w:pPr>
  </w:style>
  <w:style w:type="character" w:styleId="a4">
    <w:name w:val="Hyperlink"/>
    <w:basedOn w:val="a0"/>
    <w:uiPriority w:val="99"/>
    <w:unhideWhenUsed/>
    <w:rsid w:val="00923C8E"/>
    <w:rPr>
      <w:color w:val="0000FF" w:themeColor="hyperlink"/>
      <w:u w:val="single"/>
    </w:rPr>
  </w:style>
  <w:style w:type="paragraph" w:styleId="a5">
    <w:name w:val="header"/>
    <w:basedOn w:val="a"/>
    <w:link w:val="a6"/>
    <w:uiPriority w:val="99"/>
    <w:unhideWhenUsed/>
    <w:rsid w:val="001344E5"/>
    <w:pPr>
      <w:tabs>
        <w:tab w:val="center" w:pos="4153"/>
        <w:tab w:val="right" w:pos="8306"/>
      </w:tabs>
      <w:snapToGrid w:val="0"/>
    </w:pPr>
    <w:rPr>
      <w:sz w:val="20"/>
      <w:szCs w:val="20"/>
    </w:rPr>
  </w:style>
  <w:style w:type="character" w:customStyle="1" w:styleId="a6">
    <w:name w:val="頁首 字元"/>
    <w:basedOn w:val="a0"/>
    <w:link w:val="a5"/>
    <w:uiPriority w:val="99"/>
    <w:rsid w:val="001344E5"/>
    <w:rPr>
      <w:sz w:val="20"/>
      <w:szCs w:val="20"/>
    </w:rPr>
  </w:style>
  <w:style w:type="paragraph" w:styleId="a7">
    <w:name w:val="footer"/>
    <w:basedOn w:val="a"/>
    <w:link w:val="a8"/>
    <w:uiPriority w:val="99"/>
    <w:unhideWhenUsed/>
    <w:rsid w:val="001344E5"/>
    <w:pPr>
      <w:tabs>
        <w:tab w:val="center" w:pos="4153"/>
        <w:tab w:val="right" w:pos="8306"/>
      </w:tabs>
      <w:snapToGrid w:val="0"/>
    </w:pPr>
    <w:rPr>
      <w:sz w:val="20"/>
      <w:szCs w:val="20"/>
    </w:rPr>
  </w:style>
  <w:style w:type="character" w:customStyle="1" w:styleId="a8">
    <w:name w:val="頁尾 字元"/>
    <w:basedOn w:val="a0"/>
    <w:link w:val="a7"/>
    <w:uiPriority w:val="99"/>
    <w:rsid w:val="001344E5"/>
    <w:rPr>
      <w:sz w:val="20"/>
      <w:szCs w:val="20"/>
    </w:rPr>
  </w:style>
  <w:style w:type="paragraph" w:styleId="a9">
    <w:name w:val="Balloon Text"/>
    <w:basedOn w:val="a"/>
    <w:link w:val="aa"/>
    <w:uiPriority w:val="99"/>
    <w:semiHidden/>
    <w:unhideWhenUsed/>
    <w:rsid w:val="001344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44E5"/>
    <w:rPr>
      <w:rFonts w:asciiTheme="majorHAnsi" w:eastAsiaTheme="majorEastAsia" w:hAnsiTheme="majorHAnsi" w:cstheme="majorBidi"/>
      <w:sz w:val="18"/>
      <w:szCs w:val="18"/>
    </w:rPr>
  </w:style>
  <w:style w:type="table" w:styleId="ab">
    <w:name w:val="Table Grid"/>
    <w:basedOn w:val="a1"/>
    <w:uiPriority w:val="59"/>
    <w:rsid w:val="00181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313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0313E6"/>
    <w:rPr>
      <w:rFonts w:ascii="細明體" w:eastAsia="細明體" w:hAnsi="細明體" w:cs="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79"/>
    <w:pPr>
      <w:ind w:leftChars="200" w:left="480"/>
    </w:pPr>
  </w:style>
  <w:style w:type="character" w:styleId="a4">
    <w:name w:val="Hyperlink"/>
    <w:basedOn w:val="a0"/>
    <w:uiPriority w:val="99"/>
    <w:unhideWhenUsed/>
    <w:rsid w:val="00923C8E"/>
    <w:rPr>
      <w:color w:val="0000FF" w:themeColor="hyperlink"/>
      <w:u w:val="single"/>
    </w:rPr>
  </w:style>
  <w:style w:type="paragraph" w:styleId="a5">
    <w:name w:val="header"/>
    <w:basedOn w:val="a"/>
    <w:link w:val="a6"/>
    <w:uiPriority w:val="99"/>
    <w:unhideWhenUsed/>
    <w:rsid w:val="001344E5"/>
    <w:pPr>
      <w:tabs>
        <w:tab w:val="center" w:pos="4153"/>
        <w:tab w:val="right" w:pos="8306"/>
      </w:tabs>
      <w:snapToGrid w:val="0"/>
    </w:pPr>
    <w:rPr>
      <w:sz w:val="20"/>
      <w:szCs w:val="20"/>
    </w:rPr>
  </w:style>
  <w:style w:type="character" w:customStyle="1" w:styleId="a6">
    <w:name w:val="頁首 字元"/>
    <w:basedOn w:val="a0"/>
    <w:link w:val="a5"/>
    <w:uiPriority w:val="99"/>
    <w:rsid w:val="001344E5"/>
    <w:rPr>
      <w:sz w:val="20"/>
      <w:szCs w:val="20"/>
    </w:rPr>
  </w:style>
  <w:style w:type="paragraph" w:styleId="a7">
    <w:name w:val="footer"/>
    <w:basedOn w:val="a"/>
    <w:link w:val="a8"/>
    <w:uiPriority w:val="99"/>
    <w:unhideWhenUsed/>
    <w:rsid w:val="001344E5"/>
    <w:pPr>
      <w:tabs>
        <w:tab w:val="center" w:pos="4153"/>
        <w:tab w:val="right" w:pos="8306"/>
      </w:tabs>
      <w:snapToGrid w:val="0"/>
    </w:pPr>
    <w:rPr>
      <w:sz w:val="20"/>
      <w:szCs w:val="20"/>
    </w:rPr>
  </w:style>
  <w:style w:type="character" w:customStyle="1" w:styleId="a8">
    <w:name w:val="頁尾 字元"/>
    <w:basedOn w:val="a0"/>
    <w:link w:val="a7"/>
    <w:uiPriority w:val="99"/>
    <w:rsid w:val="001344E5"/>
    <w:rPr>
      <w:sz w:val="20"/>
      <w:szCs w:val="20"/>
    </w:rPr>
  </w:style>
  <w:style w:type="paragraph" w:styleId="a9">
    <w:name w:val="Balloon Text"/>
    <w:basedOn w:val="a"/>
    <w:link w:val="aa"/>
    <w:uiPriority w:val="99"/>
    <w:semiHidden/>
    <w:unhideWhenUsed/>
    <w:rsid w:val="001344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44E5"/>
    <w:rPr>
      <w:rFonts w:asciiTheme="majorHAnsi" w:eastAsiaTheme="majorEastAsia" w:hAnsiTheme="majorHAnsi" w:cstheme="majorBidi"/>
      <w:sz w:val="18"/>
      <w:szCs w:val="18"/>
    </w:rPr>
  </w:style>
  <w:style w:type="table" w:styleId="ab">
    <w:name w:val="Table Grid"/>
    <w:basedOn w:val="a1"/>
    <w:uiPriority w:val="59"/>
    <w:rsid w:val="00181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313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0313E6"/>
    <w:rPr>
      <w:rFonts w:ascii="細明體" w:eastAsia="細明體" w:hAnsi="細明體" w:cs="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tw/deed.zh_TW" TargetMode="External"/><Relationship Id="rId13" Type="http://schemas.openxmlformats.org/officeDocument/2006/relationships/hyperlink" Target="http://creativecommons.org/licenses/by-nc-sa/3.0/tw/deed.zh_TW" TargetMode="External"/><Relationship Id="rId18" Type="http://schemas.openxmlformats.org/officeDocument/2006/relationships/hyperlink" Target="http://www.judicial.gov.tw/constitutionalcourt/p03_01.asp?expno=380"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judicial.gov.tw/constitutionalcourt/p03_01.asp?expno=702" TargetMode="External"/><Relationship Id="rId7" Type="http://schemas.openxmlformats.org/officeDocument/2006/relationships/endnotes" Target="endnotes.xml"/><Relationship Id="rId12" Type="http://schemas.openxmlformats.org/officeDocument/2006/relationships/hyperlink" Target="http://creativecommons.org/licenses/by-nc-sa/3.0/tw/deed.zh_TW"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judicial.gov.tw/constitutionalcourt/p03_01.asp?expno=6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sa/3.0/tw/deed.zh_TW"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ocw.aca.ntu.edu.tw/ntu-ocw/index.php/ocw/copyright_declaration" TargetMode="External"/><Relationship Id="rId23" Type="http://schemas.openxmlformats.org/officeDocument/2006/relationships/hyperlink" Target="http://ocw.aca.ntu.edu.tw/ntu-ocw/index.php/ocw/copyright_declaration" TargetMode="External"/><Relationship Id="rId28" Type="http://schemas.openxmlformats.org/officeDocument/2006/relationships/theme" Target="theme/theme1.xml"/><Relationship Id="rId10" Type="http://schemas.openxmlformats.org/officeDocument/2006/relationships/hyperlink" Target="http://creativecommons.org/licenses/by-nc-sa/3.0/tw/deed.zh_TW" TargetMode="External"/><Relationship Id="rId19" Type="http://schemas.openxmlformats.org/officeDocument/2006/relationships/hyperlink" Target="http://www.judicial.gov.tw/constitutionalcourt/p03_01.asp?expno=56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reativecommons.org/licenses/by-nc-sa/3.0/tw/deed.zh_TW" TargetMode="External"/><Relationship Id="rId22" Type="http://schemas.openxmlformats.org/officeDocument/2006/relationships/hyperlink" Target="http://www.judicial.gov.tw/constitutionalcourt/p03_01.asp?expno=46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723</Words>
  <Characters>4125</Characters>
  <Application>Microsoft Office Word</Application>
  <DocSecurity>0</DocSecurity>
  <Lines>34</Lines>
  <Paragraphs>9</Paragraphs>
  <ScaleCrop>false</ScaleCrop>
  <Company>Hewlett-Packard</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ingni</dc:creator>
  <cp:lastModifiedBy>User</cp:lastModifiedBy>
  <cp:revision>8</cp:revision>
  <dcterms:created xsi:type="dcterms:W3CDTF">2013-05-24T02:16:00Z</dcterms:created>
  <dcterms:modified xsi:type="dcterms:W3CDTF">2013-06-20T01:48:00Z</dcterms:modified>
</cp:coreProperties>
</file>