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329F7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56CDDB4B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3262C209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11BA9B6E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3EE97B5D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1E2E85AA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79CA8D4A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6A9B5B79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28"/>
        </w:rPr>
      </w:pPr>
      <w:r w:rsidRPr="007B3A57">
        <w:rPr>
          <w:rFonts w:ascii="Times New Roman" w:eastAsia="標楷體" w:hAnsi="Times New Roman" w:cs="Times New Roman"/>
          <w:b/>
          <w:sz w:val="56"/>
          <w:szCs w:val="28"/>
        </w:rPr>
        <w:t>中華民國憲法與政府</w:t>
      </w:r>
    </w:p>
    <w:p w14:paraId="65111A14" w14:textId="02D57C5D" w:rsidR="00E46332" w:rsidRPr="00FC100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48"/>
          <w:szCs w:val="36"/>
        </w:rPr>
      </w:pPr>
      <w:r w:rsidRPr="00FC1007">
        <w:rPr>
          <w:rFonts w:ascii="Times New Roman" w:eastAsia="標楷體" w:hAnsi="Times New Roman" w:cs="Times New Roman"/>
          <w:b/>
          <w:sz w:val="48"/>
          <w:szCs w:val="36"/>
        </w:rPr>
        <w:t>第</w:t>
      </w:r>
      <w:r w:rsidR="00DE1F6F" w:rsidRPr="00FC1007">
        <w:rPr>
          <w:rFonts w:ascii="Times New Roman" w:eastAsia="標楷體" w:hAnsi="Times New Roman" w:cs="Times New Roman"/>
          <w:b/>
          <w:sz w:val="48"/>
          <w:szCs w:val="36"/>
        </w:rPr>
        <w:t>2</w:t>
      </w:r>
      <w:r w:rsidR="00FC1007" w:rsidRPr="00FC1007">
        <w:rPr>
          <w:rFonts w:ascii="Times New Roman" w:eastAsia="標楷體" w:hAnsi="Times New Roman" w:cs="Times New Roman"/>
          <w:b/>
          <w:sz w:val="48"/>
          <w:szCs w:val="36"/>
        </w:rPr>
        <w:t>5</w:t>
      </w:r>
      <w:r w:rsidRPr="00FC1007">
        <w:rPr>
          <w:rFonts w:ascii="Times New Roman" w:eastAsia="標楷體" w:hAnsi="Times New Roman" w:cs="Times New Roman"/>
          <w:b/>
          <w:sz w:val="48"/>
          <w:szCs w:val="36"/>
        </w:rPr>
        <w:t>單元</w:t>
      </w:r>
      <w:r w:rsidRPr="00FC1007">
        <w:rPr>
          <w:rFonts w:ascii="Times New Roman" w:eastAsia="標楷體" w:hAnsi="Times New Roman" w:cs="Times New Roman"/>
          <w:b/>
          <w:sz w:val="48"/>
          <w:szCs w:val="36"/>
        </w:rPr>
        <w:t xml:space="preserve"> </w:t>
      </w:r>
    </w:p>
    <w:p w14:paraId="5C226B66" w14:textId="58799D42" w:rsidR="00E46332" w:rsidRDefault="00FC1007" w:rsidP="00FC1007">
      <w:pPr>
        <w:widowControl/>
        <w:jc w:val="center"/>
        <w:rPr>
          <w:rFonts w:ascii="Times New Roman" w:eastAsia="標楷體" w:hAnsi="Times New Roman" w:cs="Times New Roman" w:hint="eastAsia"/>
          <w:b/>
          <w:sz w:val="48"/>
          <w:szCs w:val="36"/>
        </w:rPr>
      </w:pPr>
      <w:r w:rsidRPr="00FC1007">
        <w:rPr>
          <w:rFonts w:ascii="Times New Roman" w:eastAsia="標楷體" w:hAnsi="Times New Roman" w:cs="Times New Roman"/>
          <w:b/>
          <w:sz w:val="48"/>
          <w:szCs w:val="36"/>
        </w:rPr>
        <w:t>意見與思想自由（表意自由）（二）</w:t>
      </w:r>
    </w:p>
    <w:p w14:paraId="58D431EF" w14:textId="77777777" w:rsidR="005A1605" w:rsidRPr="00FC1007" w:rsidRDefault="005A1605" w:rsidP="00FC1007">
      <w:pPr>
        <w:widowControl/>
        <w:jc w:val="center"/>
        <w:rPr>
          <w:rFonts w:ascii="Times New Roman" w:eastAsia="標楷體" w:hAnsi="Times New Roman" w:cs="Times New Roman"/>
          <w:b/>
          <w:sz w:val="48"/>
          <w:szCs w:val="36"/>
        </w:rPr>
      </w:pPr>
    </w:p>
    <w:p w14:paraId="2F7F04BE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14:paraId="36E5BAF3" w14:textId="77777777" w:rsidR="00E46332" w:rsidRPr="007B3A57" w:rsidRDefault="00E46332" w:rsidP="00E46332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7B3A57">
        <w:rPr>
          <w:rFonts w:ascii="Times New Roman" w:eastAsia="標楷體" w:hAnsi="Times New Roman" w:cs="Times New Roman"/>
          <w:b/>
          <w:sz w:val="32"/>
          <w:szCs w:val="36"/>
        </w:rPr>
        <w:t>授課教師：陳淳文</w:t>
      </w:r>
      <w:r w:rsidRPr="007B3A57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7B3A57">
        <w:rPr>
          <w:rFonts w:ascii="Times New Roman" w:eastAsia="標楷體" w:hAnsi="Times New Roman" w:cs="Times New Roman"/>
          <w:b/>
          <w:sz w:val="32"/>
          <w:szCs w:val="36"/>
        </w:rPr>
        <w:t>教授</w:t>
      </w:r>
    </w:p>
    <w:p w14:paraId="2641D286" w14:textId="77777777" w:rsidR="00E46332" w:rsidRPr="007B3A57" w:rsidRDefault="00E46332" w:rsidP="00E46332">
      <w:pPr>
        <w:widowControl/>
        <w:rPr>
          <w:rFonts w:ascii="Times New Roman" w:hAnsi="Times New Roman" w:cs="Times New Roman"/>
          <w:b/>
          <w:szCs w:val="28"/>
        </w:rPr>
      </w:pPr>
    </w:p>
    <w:p w14:paraId="463614C7" w14:textId="77777777" w:rsidR="00E46332" w:rsidRPr="007B3A57" w:rsidRDefault="00E46332" w:rsidP="00E46332">
      <w:pPr>
        <w:widowControl/>
        <w:rPr>
          <w:rFonts w:ascii="Times New Roman" w:hAnsi="Times New Roman" w:cs="Times New Roman"/>
          <w:b/>
          <w:szCs w:val="28"/>
        </w:rPr>
      </w:pPr>
    </w:p>
    <w:p w14:paraId="23C7F5AE" w14:textId="77777777" w:rsidR="00E46332" w:rsidRPr="007B3A57" w:rsidRDefault="00E46332" w:rsidP="00E46332">
      <w:pPr>
        <w:widowControl/>
        <w:rPr>
          <w:rFonts w:ascii="Times New Roman" w:hAnsi="Times New Roman" w:cs="Times New Roman"/>
          <w:b/>
          <w:szCs w:val="28"/>
        </w:rPr>
      </w:pPr>
    </w:p>
    <w:p w14:paraId="4928D074" w14:textId="77777777" w:rsidR="00E46332" w:rsidRPr="007B3A57" w:rsidRDefault="00E46332" w:rsidP="00E46332">
      <w:pPr>
        <w:widowControl/>
        <w:rPr>
          <w:rFonts w:ascii="Times New Roman" w:hAnsi="Times New Roman" w:cs="Times New Roman"/>
          <w:b/>
          <w:szCs w:val="28"/>
        </w:rPr>
      </w:pPr>
      <w:r w:rsidRPr="007B3A57">
        <w:rPr>
          <w:rFonts w:ascii="Times New Roman" w:hAnsi="Times New Roman" w:cs="Times New Roman"/>
          <w:b/>
          <w:szCs w:val="28"/>
        </w:rPr>
        <w:t xml:space="preserve">                                              </w:t>
      </w:r>
    </w:p>
    <w:p w14:paraId="34C4AB45" w14:textId="77777777" w:rsidR="00E46332" w:rsidRPr="007B3A57" w:rsidRDefault="00E46332" w:rsidP="00E46332">
      <w:pPr>
        <w:widowControl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14:paraId="77EB49C2" w14:textId="77777777" w:rsidR="00E46332" w:rsidRPr="007B3A57" w:rsidRDefault="00E46332" w:rsidP="00E46332">
      <w:pPr>
        <w:jc w:val="center"/>
        <w:rPr>
          <w:rFonts w:ascii="Times New Roman" w:eastAsia="標楷體" w:hAnsi="Times New Roman" w:cs="Times New Roman"/>
          <w:b/>
          <w:bCs/>
        </w:rPr>
      </w:pPr>
      <w:r w:rsidRPr="007B3A57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73BAA26C" wp14:editId="59F60AA2">
            <wp:extent cx="720725" cy="252095"/>
            <wp:effectExtent l="0" t="0" r="3175" b="0"/>
            <wp:docPr id="3" name="圖片 3" descr="描述: 描述: \\140.112.59.229\資源平台\資源平台\版權\版權ICON與範例\Creative Commens台灣2.5\icon_by-nc-sa.tif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\\140.112.59.229\資源平台\資源平台\版權\版權ICON與範例\Creative Commens台灣2.5\icon_by-nc-s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B3A57">
        <w:rPr>
          <w:rFonts w:ascii="Times New Roman" w:eastAsia="標楷體" w:hAnsi="Times New Roman" w:cs="Times New Roman"/>
          <w:b/>
          <w:bCs/>
        </w:rPr>
        <w:t>【</w:t>
      </w:r>
      <w:proofErr w:type="gramEnd"/>
      <w:r w:rsidRPr="007B3A57">
        <w:rPr>
          <w:rFonts w:ascii="Times New Roman" w:eastAsia="標楷體" w:hAnsi="Times New Roman" w:cs="Times New Roman"/>
          <w:b/>
          <w:bCs/>
        </w:rPr>
        <w:t>本著作除另有註明外，採取</w:t>
      </w:r>
    </w:p>
    <w:p w14:paraId="18799390" w14:textId="554608CF" w:rsidR="00E46332" w:rsidRPr="007B3A57" w:rsidRDefault="00821178" w:rsidP="00E46332">
      <w:pPr>
        <w:jc w:val="center"/>
        <w:rPr>
          <w:rFonts w:ascii="Times New Roman" w:eastAsia="標楷體" w:hAnsi="Times New Roman" w:cs="Times New Roman"/>
          <w:b/>
        </w:rPr>
      </w:pPr>
      <w:hyperlink r:id="rId10" w:history="1"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創用</w:t>
        </w:r>
      </w:hyperlink>
      <w:hyperlink r:id="rId11" w:history="1"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CC</w:t>
        </w:r>
      </w:hyperlink>
      <w:hyperlink r:id="rId12" w:history="1"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「姓名</w:t>
        </w:r>
        <w:proofErr w:type="gramStart"/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標示－非商業性</w:t>
        </w:r>
        <w:proofErr w:type="gramEnd"/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－相同方式分享</w:t>
        </w:r>
        <w:r w:rsidR="00A8420F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」臺</w:t>
        </w:r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灣</w:t>
        </w:r>
      </w:hyperlink>
      <w:hyperlink r:id="rId13" w:history="1"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3.0</w:t>
        </w:r>
      </w:hyperlink>
      <w:hyperlink r:id="rId14" w:history="1">
        <w:r w:rsidR="00E46332" w:rsidRPr="007B3A57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版</w:t>
        </w:r>
      </w:hyperlink>
      <w:r w:rsidR="00E46332" w:rsidRPr="007B3A57">
        <w:rPr>
          <w:rFonts w:ascii="Times New Roman" w:eastAsia="標楷體" w:hAnsi="Times New Roman" w:cs="Times New Roman"/>
          <w:b/>
          <w:bCs/>
        </w:rPr>
        <w:t>授權釋出</w:t>
      </w:r>
      <w:proofErr w:type="gramStart"/>
      <w:r w:rsidR="00E46332" w:rsidRPr="007B3A57">
        <w:rPr>
          <w:rFonts w:ascii="Times New Roman" w:eastAsia="標楷體" w:hAnsi="Times New Roman" w:cs="Times New Roman"/>
          <w:b/>
          <w:bCs/>
        </w:rPr>
        <w:t>】</w:t>
      </w:r>
      <w:proofErr w:type="gramEnd"/>
    </w:p>
    <w:p w14:paraId="0B1EA700" w14:textId="77777777" w:rsidR="00E46332" w:rsidRPr="007B3A57" w:rsidRDefault="00E46332" w:rsidP="00632D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F95A81" w14:textId="77777777" w:rsidR="00E46332" w:rsidRDefault="00E46332">
      <w:pPr>
        <w:widowControl/>
        <w:rPr>
          <w:rFonts w:ascii="Times New Roman" w:hAnsi="Times New Roman" w:cs="Times New Roman"/>
          <w:b/>
          <w:sz w:val="36"/>
          <w:szCs w:val="36"/>
        </w:rPr>
      </w:pPr>
      <w:r w:rsidRPr="007B3A57"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4F6A866" w14:textId="77777777" w:rsidR="00DE1F6F" w:rsidRPr="007B3A57" w:rsidRDefault="00DE1F6F">
      <w:pPr>
        <w:widowControl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E15284" w:rsidRPr="007B3A57" w14:paraId="37D1E075" w14:textId="77777777" w:rsidTr="00171CE4">
        <w:tc>
          <w:tcPr>
            <w:tcW w:w="8356" w:type="dxa"/>
          </w:tcPr>
          <w:p w14:paraId="4611E6D9" w14:textId="0388DC57" w:rsidR="00E15284" w:rsidRPr="007B3A57" w:rsidRDefault="00E6500E" w:rsidP="00DA3F8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7B3A57">
              <w:rPr>
                <w:rFonts w:ascii="Times New Roman" w:hAnsi="Times New Roman" w:cs="Times New Roman"/>
                <w:color w:val="000000" w:themeColor="text1"/>
              </w:rPr>
              <w:t>核心</w:t>
            </w:r>
            <w:r w:rsidR="00E15284" w:rsidRPr="007B3A57">
              <w:rPr>
                <w:rFonts w:ascii="Times New Roman" w:hAnsi="Times New Roman" w:cs="Times New Roman"/>
                <w:color w:val="000000" w:themeColor="text1"/>
              </w:rPr>
              <w:t>條</w:t>
            </w:r>
            <w:r w:rsidRPr="007B3A57">
              <w:rPr>
                <w:rFonts w:ascii="Times New Roman" w:hAnsi="Times New Roman" w:cs="Times New Roman"/>
                <w:color w:val="000000" w:themeColor="text1"/>
              </w:rPr>
              <w:t>文</w:t>
            </w:r>
            <w:r w:rsidR="005253E1" w:rsidRPr="007B3A57">
              <w:rPr>
                <w:rFonts w:ascii="Times New Roman" w:hAnsi="Times New Roman" w:cs="Times New Roman"/>
                <w:color w:val="000000" w:themeColor="text1"/>
              </w:rPr>
              <w:t>→</w:t>
            </w:r>
            <w:r w:rsidR="00E15284" w:rsidRPr="007B3A57">
              <w:rPr>
                <w:rFonts w:ascii="Times New Roman" w:hAnsi="Times New Roman" w:cs="Times New Roman"/>
                <w:color w:val="000000" w:themeColor="text1"/>
              </w:rPr>
              <w:t>憲法第</w:t>
            </w:r>
            <w:r w:rsidR="00E15284" w:rsidRPr="007B3A5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E15284" w:rsidRPr="007B3A57">
              <w:rPr>
                <w:rFonts w:ascii="Times New Roman" w:hAnsi="Times New Roman" w:cs="Times New Roman"/>
                <w:color w:val="000000" w:themeColor="text1"/>
              </w:rPr>
              <w:t>條</w:t>
            </w:r>
            <w:r w:rsidR="005253E1" w:rsidRPr="007B3A57">
              <w:rPr>
                <w:rFonts w:ascii="Times New Roman" w:hAnsi="Times New Roman" w:cs="Times New Roman"/>
                <w:color w:val="000000" w:themeColor="text1"/>
              </w:rPr>
              <w:t>：</w:t>
            </w:r>
            <w:r w:rsidR="00E15284" w:rsidRPr="007B3A57">
              <w:rPr>
                <w:rFonts w:ascii="Times New Roman" w:hAnsi="Times New Roman" w:cs="Times New Roman"/>
                <w:color w:val="000000" w:themeColor="text1"/>
              </w:rPr>
              <w:t>「人民有言論、講學、著作及出版之自由</w:t>
            </w:r>
            <w:r w:rsidR="002666EC" w:rsidRPr="007B3A57">
              <w:rPr>
                <w:rFonts w:ascii="Times New Roman" w:hAnsi="Times New Roman" w:cs="Times New Roman"/>
                <w:color w:val="000000" w:themeColor="text1"/>
              </w:rPr>
              <w:t>。」</w:t>
            </w:r>
            <w:r w:rsidR="00FA4A51"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4799F6B" wp14:editId="38E58CFC">
                  <wp:extent cx="222636" cy="195005"/>
                  <wp:effectExtent l="0" t="0" r="6350" b="0"/>
                  <wp:docPr id="6" name="圖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CC93D" w14:textId="77777777" w:rsidR="00F55F2D" w:rsidRPr="007B3A57" w:rsidRDefault="003078DE" w:rsidP="003078D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基本概念</w:t>
      </w:r>
    </w:p>
    <w:p w14:paraId="5EE0EFBE" w14:textId="77777777" w:rsidR="003078DE" w:rsidRPr="007B3A57" w:rsidRDefault="00304357" w:rsidP="003043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法與內心世界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E15284" w:rsidRPr="007B3A57" w14:paraId="244DC67E" w14:textId="77777777" w:rsidTr="00171CE4">
        <w:tc>
          <w:tcPr>
            <w:tcW w:w="8356" w:type="dxa"/>
          </w:tcPr>
          <w:p w14:paraId="765A29E8" w14:textId="77777777" w:rsidR="00B01C94" w:rsidRPr="007B3A57" w:rsidRDefault="00E15284" w:rsidP="005253E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法規範能有效</w:t>
            </w:r>
            <w:proofErr w:type="gramStart"/>
            <w:r w:rsidRPr="007B3A57">
              <w:rPr>
                <w:rFonts w:ascii="Times New Roman" w:hAnsi="Times New Roman" w:cs="Times New Roman"/>
              </w:rPr>
              <w:t>規</w:t>
            </w:r>
            <w:proofErr w:type="gramEnd"/>
            <w:r w:rsidRPr="007B3A57">
              <w:rPr>
                <w:rFonts w:ascii="Times New Roman" w:hAnsi="Times New Roman" w:cs="Times New Roman"/>
              </w:rPr>
              <w:t>制內心世界嗎？</w:t>
            </w:r>
          </w:p>
          <w:p w14:paraId="7C0699F8" w14:textId="77777777" w:rsidR="00E15284" w:rsidRPr="007B3A57" w:rsidRDefault="005253E1" w:rsidP="005253E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規範核心：對外的言論表達與思想傳遞之行為，亦即</w:t>
            </w:r>
            <w:r w:rsidR="00B01C94" w:rsidRPr="007B3A57">
              <w:rPr>
                <w:rFonts w:ascii="Times New Roman" w:hAnsi="Times New Roman" w:cs="Times New Roman"/>
              </w:rPr>
              <w:t>「表意自由」</w:t>
            </w:r>
            <w:r w:rsidRPr="007B3A57">
              <w:rPr>
                <w:rFonts w:ascii="Times New Roman" w:hAnsi="Times New Roman" w:cs="Times New Roman"/>
              </w:rPr>
              <w:t>。</w:t>
            </w:r>
          </w:p>
        </w:tc>
      </w:tr>
    </w:tbl>
    <w:p w14:paraId="56C48BF1" w14:textId="77777777" w:rsidR="00E15284" w:rsidRPr="007B3A57" w:rsidRDefault="00E15284" w:rsidP="00E15284">
      <w:pPr>
        <w:pStyle w:val="a3"/>
        <w:ind w:leftChars="0" w:left="1440"/>
        <w:rPr>
          <w:rFonts w:ascii="Times New Roman" w:hAnsi="Times New Roman" w:cs="Times New Roman"/>
        </w:rPr>
      </w:pPr>
    </w:p>
    <w:p w14:paraId="4D3970EB" w14:textId="77777777" w:rsidR="00304357" w:rsidRPr="007B3A57" w:rsidRDefault="00304357" w:rsidP="003043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真理與邪說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E15284" w:rsidRPr="007B3A57" w14:paraId="7FAA0CBB" w14:textId="77777777" w:rsidTr="00171CE4">
        <w:tc>
          <w:tcPr>
            <w:tcW w:w="8356" w:type="dxa"/>
          </w:tcPr>
          <w:p w14:paraId="2FADD571" w14:textId="77777777" w:rsidR="00B01C94" w:rsidRPr="007B3A57" w:rsidRDefault="005253E1" w:rsidP="00B01C9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言論自由</w:t>
            </w:r>
            <w:r w:rsidR="00B01C94" w:rsidRPr="007B3A57">
              <w:rPr>
                <w:rFonts w:ascii="Times New Roman" w:hAnsi="Times New Roman" w:cs="Times New Roman"/>
              </w:rPr>
              <w:t>保障</w:t>
            </w:r>
            <w:r w:rsidRPr="007B3A57">
              <w:rPr>
                <w:rFonts w:ascii="Times New Roman" w:hAnsi="Times New Roman" w:cs="Times New Roman"/>
              </w:rPr>
              <w:t>的</w:t>
            </w:r>
            <w:r w:rsidR="00B01C94" w:rsidRPr="007B3A57">
              <w:rPr>
                <w:rFonts w:ascii="Times New Roman" w:hAnsi="Times New Roman" w:cs="Times New Roman"/>
              </w:rPr>
              <w:t>重心：非保障主流意見或</w:t>
            </w:r>
            <w:proofErr w:type="gramStart"/>
            <w:r w:rsidR="00B01C94" w:rsidRPr="007B3A57">
              <w:rPr>
                <w:rFonts w:ascii="Times New Roman" w:hAnsi="Times New Roman" w:cs="Times New Roman"/>
              </w:rPr>
              <w:t>社會通念</w:t>
            </w:r>
            <w:proofErr w:type="gramEnd"/>
            <w:r w:rsidRPr="007B3A57">
              <w:rPr>
                <w:rFonts w:ascii="Times New Roman" w:hAnsi="Times New Roman" w:cs="Times New Roman"/>
              </w:rPr>
              <w:t>，而是某程度上反社會的</w:t>
            </w:r>
            <w:r w:rsidR="00B01C94" w:rsidRPr="007B3A57">
              <w:rPr>
                <w:rFonts w:ascii="Times New Roman" w:hAnsi="Times New Roman" w:cs="Times New Roman"/>
              </w:rPr>
              <w:t>想法、言論或理念。</w:t>
            </w:r>
          </w:p>
          <w:p w14:paraId="3AE2235F" w14:textId="77777777" w:rsidR="005954E2" w:rsidRPr="007B3A57" w:rsidRDefault="00E15284" w:rsidP="00B01C9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為何要保護反社會言論</w:t>
            </w:r>
            <w:r w:rsidR="005253E1" w:rsidRPr="007B3A57">
              <w:rPr>
                <w:rFonts w:ascii="Times New Roman" w:hAnsi="Times New Roman" w:cs="Times New Roman"/>
              </w:rPr>
              <w:t>（</w:t>
            </w:r>
            <w:r w:rsidR="005954E2" w:rsidRPr="007B3A57">
              <w:rPr>
                <w:rFonts w:ascii="Times New Roman" w:hAnsi="Times New Roman" w:cs="Times New Roman"/>
              </w:rPr>
              <w:t>異端邪說）</w:t>
            </w:r>
            <w:r w:rsidRPr="007B3A57">
              <w:rPr>
                <w:rFonts w:ascii="Times New Roman" w:hAnsi="Times New Roman" w:cs="Times New Roman"/>
              </w:rPr>
              <w:t>？</w:t>
            </w:r>
          </w:p>
          <w:p w14:paraId="1073CCC1" w14:textId="77777777" w:rsidR="00B01C94" w:rsidRPr="007B3A57" w:rsidRDefault="00B01C94" w:rsidP="00B01C9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從人類歷史來看，</w:t>
            </w:r>
            <w:r w:rsidR="005253E1" w:rsidRPr="007B3A57">
              <w:rPr>
                <w:rFonts w:ascii="Times New Roman" w:hAnsi="Times New Roman" w:cs="Times New Roman"/>
              </w:rPr>
              <w:t>起先</w:t>
            </w:r>
            <w:r w:rsidRPr="007B3A57">
              <w:rPr>
                <w:rFonts w:ascii="Times New Roman" w:hAnsi="Times New Roman" w:cs="Times New Roman"/>
              </w:rPr>
              <w:t>被視為異端邪說者，</w:t>
            </w:r>
            <w:r w:rsidR="005253E1" w:rsidRPr="007B3A57">
              <w:rPr>
                <w:rFonts w:ascii="Times New Roman" w:hAnsi="Times New Roman" w:cs="Times New Roman"/>
              </w:rPr>
              <w:t>到後來</w:t>
            </w:r>
            <w:r w:rsidRPr="007B3A57">
              <w:rPr>
                <w:rFonts w:ascii="Times New Roman" w:hAnsi="Times New Roman" w:cs="Times New Roman"/>
              </w:rPr>
              <w:t>可能</w:t>
            </w:r>
            <w:r w:rsidR="005253E1" w:rsidRPr="007B3A57">
              <w:rPr>
                <w:rFonts w:ascii="Times New Roman" w:hAnsi="Times New Roman" w:cs="Times New Roman"/>
              </w:rPr>
              <w:t>被證實</w:t>
            </w:r>
            <w:r w:rsidRPr="007B3A57">
              <w:rPr>
                <w:rFonts w:ascii="Times New Roman" w:hAnsi="Times New Roman" w:cs="Times New Roman"/>
              </w:rPr>
              <w:t>是真理。</w:t>
            </w:r>
          </w:p>
          <w:p w14:paraId="4582C867" w14:textId="77777777" w:rsidR="00B01C94" w:rsidRPr="007B3A57" w:rsidRDefault="00B01C94" w:rsidP="00B01C9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越壓抑</w:t>
            </w:r>
            <w:r w:rsidR="005253E1" w:rsidRPr="007B3A57">
              <w:rPr>
                <w:rFonts w:ascii="Times New Roman" w:hAnsi="Times New Roman" w:cs="Times New Roman"/>
              </w:rPr>
              <w:t>非主流意見</w:t>
            </w:r>
            <w:r w:rsidRPr="007B3A57">
              <w:rPr>
                <w:rFonts w:ascii="Times New Roman" w:hAnsi="Times New Roman" w:cs="Times New Roman"/>
              </w:rPr>
              <w:t>，越可能</w:t>
            </w:r>
            <w:r w:rsidR="005253E1" w:rsidRPr="007B3A57">
              <w:rPr>
                <w:rFonts w:ascii="Times New Roman" w:hAnsi="Times New Roman" w:cs="Times New Roman"/>
              </w:rPr>
              <w:t>對</w:t>
            </w:r>
            <w:r w:rsidRPr="007B3A57">
              <w:rPr>
                <w:rFonts w:ascii="Times New Roman" w:hAnsi="Times New Roman" w:cs="Times New Roman"/>
              </w:rPr>
              <w:t>人類文明的進步</w:t>
            </w:r>
            <w:r w:rsidR="005253E1" w:rsidRPr="007B3A57">
              <w:rPr>
                <w:rFonts w:ascii="Times New Roman" w:hAnsi="Times New Roman" w:cs="Times New Roman"/>
              </w:rPr>
              <w:t>造成阻礙</w:t>
            </w:r>
            <w:r w:rsidRPr="007B3A57">
              <w:rPr>
                <w:rFonts w:ascii="Times New Roman" w:hAnsi="Times New Roman" w:cs="Times New Roman"/>
              </w:rPr>
              <w:t>。</w:t>
            </w:r>
          </w:p>
          <w:p w14:paraId="454EEB6A" w14:textId="0159E55B" w:rsidR="00E15284" w:rsidRPr="007B3A57" w:rsidRDefault="005253E1" w:rsidP="00B01C9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「</w:t>
            </w:r>
            <w:r w:rsidR="00B01C94" w:rsidRPr="007B3A57">
              <w:rPr>
                <w:rFonts w:ascii="Times New Roman" w:hAnsi="Times New Roman" w:cs="Times New Roman"/>
              </w:rPr>
              <w:t>對於你講的每句話我完全</w:t>
            </w:r>
            <w:proofErr w:type="gramStart"/>
            <w:r w:rsidR="00B01C94" w:rsidRPr="007B3A57">
              <w:rPr>
                <w:rFonts w:ascii="Times New Roman" w:hAnsi="Times New Roman" w:cs="Times New Roman"/>
              </w:rPr>
              <w:t>不</w:t>
            </w:r>
            <w:proofErr w:type="gramEnd"/>
            <w:r w:rsidR="00B01C94" w:rsidRPr="007B3A57">
              <w:rPr>
                <w:rFonts w:ascii="Times New Roman" w:hAnsi="Times New Roman" w:cs="Times New Roman"/>
              </w:rPr>
              <w:t>認同，但我誓死捍衛你</w:t>
            </w:r>
            <w:r w:rsidRPr="007B3A57">
              <w:rPr>
                <w:rFonts w:ascii="Times New Roman" w:hAnsi="Times New Roman" w:cs="Times New Roman"/>
              </w:rPr>
              <w:t>有說</w:t>
            </w:r>
            <w:r w:rsidR="00B01C94" w:rsidRPr="007B3A57">
              <w:rPr>
                <w:rFonts w:ascii="Times New Roman" w:hAnsi="Times New Roman" w:cs="Times New Roman"/>
              </w:rPr>
              <w:t>話的權利</w:t>
            </w:r>
            <w:r w:rsidRPr="007B3A57">
              <w:rPr>
                <w:rFonts w:ascii="Times New Roman" w:hAnsi="Times New Roman" w:cs="Times New Roman"/>
              </w:rPr>
              <w:t>」</w:t>
            </w:r>
            <w:r w:rsidR="00B01C94" w:rsidRPr="007B3A57">
              <w:rPr>
                <w:rFonts w:ascii="Times New Roman" w:hAnsi="Times New Roman" w:cs="Times New Roman"/>
              </w:rPr>
              <w:t>。</w:t>
            </w:r>
            <w:r w:rsidR="00467FEA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70C08A3B" wp14:editId="2583DFCA">
                  <wp:extent cx="475488" cy="167097"/>
                  <wp:effectExtent l="0" t="0" r="1270" b="4445"/>
                  <wp:docPr id="8" name="圖片 8" descr="D:\C. 說明文件\創用CC圖示\by-sa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. 說明文件\創用CC圖示\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2" cy="16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77039" w14:textId="77777777" w:rsidR="00E15284" w:rsidRPr="007B3A57" w:rsidRDefault="00E15284" w:rsidP="00E15284">
      <w:pPr>
        <w:pStyle w:val="a3"/>
        <w:ind w:leftChars="0" w:left="1440"/>
        <w:rPr>
          <w:rFonts w:ascii="Times New Roman" w:hAnsi="Times New Roman" w:cs="Times New Roman"/>
        </w:rPr>
      </w:pPr>
    </w:p>
    <w:p w14:paraId="4D591226" w14:textId="77777777" w:rsidR="00304357" w:rsidRPr="007B3A57" w:rsidRDefault="00304357" w:rsidP="0030435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積極與消極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5954E2" w:rsidRPr="007B3A57" w14:paraId="49E77B6F" w14:textId="77777777" w:rsidTr="00171CE4">
        <w:tc>
          <w:tcPr>
            <w:tcW w:w="8356" w:type="dxa"/>
          </w:tcPr>
          <w:p w14:paraId="6D1A14AB" w14:textId="77777777" w:rsidR="005954E2" w:rsidRPr="007B3A57" w:rsidRDefault="005954E2" w:rsidP="0054630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積極面向：人民積極做某種行為（例如傳遞某種言論）時，援引此法條作為保障。</w:t>
            </w:r>
          </w:p>
          <w:p w14:paraId="1C97CE4C" w14:textId="77777777" w:rsidR="00007856" w:rsidRPr="007B3A57" w:rsidRDefault="00756B42" w:rsidP="0054630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消極面向：人民不願意，但被迫表達某種意見時，</w:t>
            </w:r>
            <w:r w:rsidR="005954E2" w:rsidRPr="007B3A57">
              <w:rPr>
                <w:rFonts w:ascii="Times New Roman" w:hAnsi="Times New Roman" w:cs="Times New Roman"/>
              </w:rPr>
              <w:t>援用此法條據以表示權利受</w:t>
            </w:r>
            <w:r w:rsidRPr="007B3A57">
              <w:rPr>
                <w:rFonts w:ascii="Times New Roman" w:hAnsi="Times New Roman" w:cs="Times New Roman"/>
              </w:rPr>
              <w:t>到</w:t>
            </w:r>
            <w:r w:rsidR="005954E2" w:rsidRPr="007B3A57">
              <w:rPr>
                <w:rFonts w:ascii="Times New Roman" w:hAnsi="Times New Roman" w:cs="Times New Roman"/>
              </w:rPr>
              <w:t>侵害。</w:t>
            </w:r>
          </w:p>
          <w:p w14:paraId="06D1FBED" w14:textId="77777777" w:rsidR="00007856" w:rsidRPr="007B3A57" w:rsidRDefault="00007856" w:rsidP="0054630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案例思考：</w:t>
            </w:r>
          </w:p>
          <w:p w14:paraId="40BA5D0F" w14:textId="77777777" w:rsidR="00546308" w:rsidRPr="007B3A57" w:rsidRDefault="00546308" w:rsidP="00546308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政治人物服公職前須先宣誓效忠中華民國憲法與國旗；如有不遵從者，可否拒絕其擔任公職？</w:t>
            </w:r>
          </w:p>
          <w:p w14:paraId="4890D780" w14:textId="77777777" w:rsidR="00546308" w:rsidRPr="007B3A57" w:rsidRDefault="00546308" w:rsidP="00546308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升旗典禮時，可否強制要求每個人皆須立正敬禮？</w:t>
            </w:r>
          </w:p>
          <w:p w14:paraId="77A8152D" w14:textId="77777777" w:rsidR="00546308" w:rsidRPr="007B3A57" w:rsidRDefault="00F86FCD" w:rsidP="00546308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美國喬治</w:t>
            </w:r>
            <w:proofErr w:type="gramStart"/>
            <w:r w:rsidRPr="007B3A57">
              <w:rPr>
                <w:rFonts w:ascii="Times New Roman" w:hAnsi="Times New Roman" w:cs="Times New Roman"/>
              </w:rPr>
              <w:t>亞州</w:t>
            </w:r>
            <w:proofErr w:type="gramEnd"/>
            <w:r w:rsidRPr="007B3A57">
              <w:rPr>
                <w:rFonts w:ascii="Times New Roman" w:hAnsi="Times New Roman" w:cs="Times New Roman"/>
              </w:rPr>
              <w:t>某議員於競選過程中主張停止越戰，反徵兵政策而遭議會阻止其就職</w:t>
            </w:r>
            <w:r w:rsidR="00546308" w:rsidRPr="007B3A57">
              <w:rPr>
                <w:rFonts w:ascii="Times New Roman" w:hAnsi="Times New Roman" w:cs="Times New Roman"/>
              </w:rPr>
              <w:t>之爭議？</w:t>
            </w:r>
          </w:p>
          <w:p w14:paraId="06414AB9" w14:textId="77777777" w:rsidR="00546308" w:rsidRPr="007B3A57" w:rsidRDefault="00546308" w:rsidP="00546308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司法上強迫道歉的判決，是否侵害人民憲法消極不表意的自由？</w:t>
            </w:r>
          </w:p>
          <w:p w14:paraId="11DC59ED" w14:textId="77777777" w:rsidR="00546308" w:rsidRPr="007B3A57" w:rsidRDefault="00546308" w:rsidP="00546308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司法實務：</w:t>
            </w:r>
          </w:p>
          <w:p w14:paraId="4D728DD9" w14:textId="0FE73285" w:rsidR="00546308" w:rsidRPr="007B3A57" w:rsidRDefault="00546308" w:rsidP="00546308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lastRenderedPageBreak/>
              <w:t>大法官解釋第</w:t>
            </w:r>
            <w:r w:rsidRPr="007B3A57">
              <w:rPr>
                <w:rFonts w:ascii="Times New Roman" w:hAnsi="Times New Roman" w:cs="Times New Roman"/>
              </w:rPr>
              <w:t>254</w:t>
            </w:r>
            <w:r w:rsidRPr="007B3A57">
              <w:rPr>
                <w:rFonts w:ascii="Times New Roman" w:hAnsi="Times New Roman" w:cs="Times New Roman"/>
              </w:rPr>
              <w:t>號：「（</w:t>
            </w:r>
            <w:r w:rsidRPr="007B3A57">
              <w:rPr>
                <w:rFonts w:ascii="Times New Roman" w:hAnsi="Times New Roman" w:cs="Times New Roman"/>
                <w:color w:val="000000"/>
              </w:rPr>
              <w:t>國民大會代表之宣誓）旨在使宣誓人鄭重公開表示其恪遵憲法，盡忠職務，代表全國國民依法行使職權之決心與誠意，</w:t>
            </w:r>
            <w:proofErr w:type="gramStart"/>
            <w:r w:rsidRPr="007B3A57">
              <w:rPr>
                <w:rFonts w:ascii="Times New Roman" w:hAnsi="Times New Roman" w:cs="Times New Roman"/>
                <w:color w:val="000000"/>
              </w:rPr>
              <w:t>俾</w:t>
            </w:r>
            <w:proofErr w:type="gramEnd"/>
            <w:r w:rsidRPr="007B3A57">
              <w:rPr>
                <w:rFonts w:ascii="Times New Roman" w:hAnsi="Times New Roman" w:cs="Times New Roman"/>
                <w:color w:val="000000"/>
              </w:rPr>
              <w:t>昭信守。此項宣誓，依本院釋字第一九九號解釋，係屬行使職權之宣誓。上述宣誓係公法上之要式行為，除誓詞由前開法條明文規定外，其程序及方式，應依宣誓條例第三條至第七條之規定。國民大會代表未為宣誓，違反宣誓之義務，固不得行使職權，如有明確之事證足認其於宣誓時，故意不依法定方式及法定誓詞為之者，不能認已</w:t>
            </w:r>
            <w:proofErr w:type="gramStart"/>
            <w:r w:rsidRPr="007B3A57">
              <w:rPr>
                <w:rFonts w:ascii="Times New Roman" w:hAnsi="Times New Roman" w:cs="Times New Roman"/>
                <w:color w:val="000000"/>
              </w:rPr>
              <w:t>踐行</w:t>
            </w:r>
            <w:proofErr w:type="gramEnd"/>
            <w:r w:rsidRPr="007B3A57">
              <w:rPr>
                <w:rFonts w:ascii="Times New Roman" w:hAnsi="Times New Roman" w:cs="Times New Roman"/>
                <w:color w:val="000000"/>
              </w:rPr>
              <w:t>該項法定要式行為，與未宣誓同，自亦不得行使職權。</w:t>
            </w:r>
            <w:r w:rsidRPr="007B3A57">
              <w:rPr>
                <w:rFonts w:ascii="Times New Roman" w:hAnsi="Times New Roman" w:cs="Times New Roman"/>
              </w:rPr>
              <w:t>」</w:t>
            </w:r>
            <w:r w:rsidR="00FA4A51"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389C75F" wp14:editId="47B2640C">
                  <wp:extent cx="222636" cy="195005"/>
                  <wp:effectExtent l="0" t="0" r="6350" b="0"/>
                  <wp:docPr id="4" name="圖片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892E0" w14:textId="21B506B7" w:rsidR="00007856" w:rsidRPr="007B3A57" w:rsidRDefault="00546308" w:rsidP="00546308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大法官解釋第</w:t>
            </w:r>
            <w:r w:rsidRPr="007B3A57">
              <w:rPr>
                <w:rFonts w:ascii="Times New Roman" w:hAnsi="Times New Roman" w:cs="Times New Roman"/>
              </w:rPr>
              <w:t>656</w:t>
            </w:r>
            <w:r w:rsidRPr="007B3A57">
              <w:rPr>
                <w:rFonts w:ascii="Times New Roman" w:hAnsi="Times New Roman" w:cs="Times New Roman"/>
              </w:rPr>
              <w:t>號：「</w:t>
            </w:r>
            <w:r w:rsidRPr="007B3A57">
              <w:rPr>
                <w:rFonts w:ascii="Times New Roman" w:hAnsi="Times New Roman" w:cs="Times New Roman"/>
              </w:rPr>
              <w:t>…</w:t>
            </w:r>
            <w:r w:rsidRPr="007B3A57">
              <w:rPr>
                <w:rFonts w:ascii="Times New Roman" w:hAnsi="Times New Roman" w:cs="Times New Roman"/>
              </w:rPr>
              <w:t>所謂回復名譽之適當處分，如屬以判決命加害人公開道歉，而未涉及加害人自我</w:t>
            </w:r>
            <w:proofErr w:type="gramStart"/>
            <w:r w:rsidRPr="007B3A57">
              <w:rPr>
                <w:rFonts w:ascii="Times New Roman" w:hAnsi="Times New Roman" w:cs="Times New Roman"/>
              </w:rPr>
              <w:t>羞辱等損及</w:t>
            </w:r>
            <w:proofErr w:type="gramEnd"/>
            <w:r w:rsidRPr="007B3A57">
              <w:rPr>
                <w:rFonts w:ascii="Times New Roman" w:hAnsi="Times New Roman" w:cs="Times New Roman"/>
              </w:rPr>
              <w:t>人性尊嚴之情事者，即未違背憲法第二十三條比例原則，而</w:t>
            </w:r>
            <w:proofErr w:type="gramStart"/>
            <w:r w:rsidRPr="007B3A57">
              <w:rPr>
                <w:rFonts w:ascii="Times New Roman" w:hAnsi="Times New Roman" w:cs="Times New Roman"/>
              </w:rPr>
              <w:t>不</w:t>
            </w:r>
            <w:proofErr w:type="gramEnd"/>
            <w:r w:rsidRPr="007B3A57">
              <w:rPr>
                <w:rFonts w:ascii="Times New Roman" w:hAnsi="Times New Roman" w:cs="Times New Roman"/>
              </w:rPr>
              <w:t>牴觸憲法對不表意自由之保障。」</w:t>
            </w:r>
            <w:r w:rsidR="00FA4A51"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8CF529A" wp14:editId="04A0B9A9">
                  <wp:extent cx="222636" cy="195005"/>
                  <wp:effectExtent l="0" t="0" r="6350" b="0"/>
                  <wp:docPr id="5" name="圖片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725EB" w14:textId="77777777" w:rsidR="00304357" w:rsidRPr="007B3A57" w:rsidRDefault="00304357" w:rsidP="00DA3F8D">
      <w:pPr>
        <w:rPr>
          <w:rFonts w:ascii="Times New Roman" w:hAnsi="Times New Roman" w:cs="Times New Roman"/>
        </w:rPr>
      </w:pPr>
    </w:p>
    <w:p w14:paraId="05F684FD" w14:textId="77777777" w:rsidR="003078DE" w:rsidRPr="007B3A57" w:rsidRDefault="003078DE" w:rsidP="003078D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制度功能</w:t>
      </w:r>
    </w:p>
    <w:p w14:paraId="5D587E81" w14:textId="77777777" w:rsidR="00304357" w:rsidRPr="007B3A57" w:rsidRDefault="00304357" w:rsidP="0030435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實現自我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D56F4" w:rsidRPr="007B3A57" w14:paraId="5E418E28" w14:textId="77777777" w:rsidTr="00171CE4">
        <w:tc>
          <w:tcPr>
            <w:tcW w:w="8356" w:type="dxa"/>
          </w:tcPr>
          <w:p w14:paraId="26F9F53B" w14:textId="77777777" w:rsidR="00A10391" w:rsidRPr="007B3A57" w:rsidRDefault="00BB4178" w:rsidP="00546308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實現自我是</w:t>
            </w:r>
            <w:r w:rsidR="00546308" w:rsidRPr="007B3A57">
              <w:rPr>
                <w:rFonts w:ascii="Times New Roman" w:hAnsi="Times New Roman" w:cs="Times New Roman"/>
              </w:rPr>
              <w:t>相對</w:t>
            </w:r>
            <w:r w:rsidR="008D56F4" w:rsidRPr="007B3A57">
              <w:rPr>
                <w:rFonts w:ascii="Times New Roman" w:hAnsi="Times New Roman" w:cs="Times New Roman"/>
              </w:rPr>
              <w:t>抽象、</w:t>
            </w:r>
            <w:proofErr w:type="gramStart"/>
            <w:r w:rsidR="008D56F4" w:rsidRPr="007B3A57">
              <w:rPr>
                <w:rFonts w:ascii="Times New Roman" w:hAnsi="Times New Roman" w:cs="Times New Roman"/>
              </w:rPr>
              <w:t>深層但</w:t>
            </w:r>
            <w:r w:rsidRPr="007B3A57">
              <w:rPr>
                <w:rFonts w:ascii="Times New Roman" w:hAnsi="Times New Roman" w:cs="Times New Roman"/>
              </w:rPr>
              <w:t>也</w:t>
            </w:r>
            <w:proofErr w:type="gramEnd"/>
            <w:r w:rsidR="008D56F4" w:rsidRPr="007B3A57">
              <w:rPr>
                <w:rFonts w:ascii="Times New Roman" w:hAnsi="Times New Roman" w:cs="Times New Roman"/>
              </w:rPr>
              <w:t>較</w:t>
            </w:r>
            <w:r w:rsidR="00546308" w:rsidRPr="007B3A57">
              <w:rPr>
                <w:rFonts w:ascii="Times New Roman" w:hAnsi="Times New Roman" w:cs="Times New Roman"/>
              </w:rPr>
              <w:t>為重要的功能，</w:t>
            </w:r>
            <w:r w:rsidR="008D56F4" w:rsidRPr="007B3A57">
              <w:rPr>
                <w:rFonts w:ascii="Times New Roman" w:hAnsi="Times New Roman" w:cs="Times New Roman"/>
              </w:rPr>
              <w:t>與人性尊嚴</w:t>
            </w:r>
            <w:r w:rsidR="00A10391" w:rsidRPr="007B3A57">
              <w:rPr>
                <w:rFonts w:ascii="Times New Roman" w:hAnsi="Times New Roman" w:cs="Times New Roman"/>
              </w:rPr>
              <w:t>及</w:t>
            </w:r>
            <w:r w:rsidR="008D56F4" w:rsidRPr="007B3A57">
              <w:rPr>
                <w:rFonts w:ascii="Times New Roman" w:hAnsi="Times New Roman" w:cs="Times New Roman"/>
              </w:rPr>
              <w:t>人性價值</w:t>
            </w:r>
            <w:r w:rsidR="00A10391" w:rsidRPr="007B3A57">
              <w:rPr>
                <w:rFonts w:ascii="Times New Roman" w:hAnsi="Times New Roman" w:cs="Times New Roman"/>
              </w:rPr>
              <w:t>有</w:t>
            </w:r>
            <w:r w:rsidR="008D56F4" w:rsidRPr="007B3A57">
              <w:rPr>
                <w:rFonts w:ascii="Times New Roman" w:hAnsi="Times New Roman" w:cs="Times New Roman"/>
              </w:rPr>
              <w:t>密切關聯。</w:t>
            </w:r>
          </w:p>
        </w:tc>
      </w:tr>
    </w:tbl>
    <w:p w14:paraId="13F77771" w14:textId="77777777" w:rsidR="008D56F4" w:rsidRPr="007B3A57" w:rsidRDefault="008D56F4" w:rsidP="008D56F4">
      <w:pPr>
        <w:pStyle w:val="a3"/>
        <w:ind w:leftChars="0" w:left="1440"/>
        <w:rPr>
          <w:rFonts w:ascii="Times New Roman" w:hAnsi="Times New Roman" w:cs="Times New Roman"/>
        </w:rPr>
      </w:pPr>
    </w:p>
    <w:p w14:paraId="17ADD48A" w14:textId="77777777" w:rsidR="00304357" w:rsidRPr="007B3A57" w:rsidRDefault="0095370E" w:rsidP="0030435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追求真理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D56F4" w:rsidRPr="007B3A57" w14:paraId="039B83FF" w14:textId="77777777" w:rsidTr="00171CE4">
        <w:tc>
          <w:tcPr>
            <w:tcW w:w="8356" w:type="dxa"/>
          </w:tcPr>
          <w:p w14:paraId="02BF653D" w14:textId="77777777" w:rsidR="00A10391" w:rsidRPr="007B3A57" w:rsidRDefault="00546308" w:rsidP="00546308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有了</w:t>
            </w:r>
            <w:r w:rsidR="00A10391" w:rsidRPr="007B3A57">
              <w:rPr>
                <w:rFonts w:ascii="Times New Roman" w:hAnsi="Times New Roman" w:cs="Times New Roman"/>
              </w:rPr>
              <w:t>言論自由</w:t>
            </w:r>
            <w:r w:rsidRPr="007B3A57">
              <w:rPr>
                <w:rFonts w:ascii="Times New Roman" w:hAnsi="Times New Roman" w:cs="Times New Roman"/>
              </w:rPr>
              <w:t>，才能使人類</w:t>
            </w:r>
            <w:r w:rsidR="00A10391" w:rsidRPr="007B3A57">
              <w:rPr>
                <w:rFonts w:ascii="Times New Roman" w:hAnsi="Times New Roman" w:cs="Times New Roman"/>
              </w:rPr>
              <w:t>趨於真理。</w:t>
            </w:r>
            <w:r w:rsidRPr="007B3A57">
              <w:rPr>
                <w:rFonts w:ascii="Times New Roman" w:hAnsi="Times New Roman" w:cs="Times New Roman"/>
              </w:rPr>
              <w:t>例如核四爭議問題</w:t>
            </w:r>
            <w:r w:rsidR="00A10391" w:rsidRPr="007B3A57">
              <w:rPr>
                <w:rFonts w:ascii="Times New Roman" w:hAnsi="Times New Roman" w:cs="Times New Roman"/>
              </w:rPr>
              <w:t>，因有言論自由</w:t>
            </w:r>
            <w:r w:rsidRPr="007B3A57">
              <w:rPr>
                <w:rFonts w:ascii="Times New Roman" w:hAnsi="Times New Roman" w:cs="Times New Roman"/>
              </w:rPr>
              <w:t>的保障，各種訊息得以表達，並經</w:t>
            </w:r>
            <w:r w:rsidR="00A10391" w:rsidRPr="007B3A57">
              <w:rPr>
                <w:rFonts w:ascii="Times New Roman" w:hAnsi="Times New Roman" w:cs="Times New Roman"/>
              </w:rPr>
              <w:t>不同意見</w:t>
            </w:r>
            <w:r w:rsidRPr="007B3A57">
              <w:rPr>
                <w:rFonts w:ascii="Times New Roman" w:hAnsi="Times New Roman" w:cs="Times New Roman"/>
              </w:rPr>
              <w:t>的比較之後，</w:t>
            </w:r>
            <w:r w:rsidR="00A10391" w:rsidRPr="007B3A57">
              <w:rPr>
                <w:rFonts w:ascii="Times New Roman" w:hAnsi="Times New Roman" w:cs="Times New Roman"/>
              </w:rPr>
              <w:t>獲致相對較</w:t>
            </w:r>
            <w:r w:rsidR="00C14377" w:rsidRPr="007B3A57">
              <w:rPr>
                <w:rFonts w:ascii="Times New Roman" w:hAnsi="Times New Roman" w:cs="Times New Roman"/>
              </w:rPr>
              <w:t>妥適、</w:t>
            </w:r>
            <w:r w:rsidR="00A10391" w:rsidRPr="007B3A57">
              <w:rPr>
                <w:rFonts w:ascii="Times New Roman" w:hAnsi="Times New Roman" w:cs="Times New Roman"/>
              </w:rPr>
              <w:t>理想及符合國家需求之結論。</w:t>
            </w:r>
          </w:p>
        </w:tc>
      </w:tr>
    </w:tbl>
    <w:p w14:paraId="00236EE9" w14:textId="77777777" w:rsidR="008D56F4" w:rsidRPr="007B3A57" w:rsidRDefault="008D56F4" w:rsidP="008D56F4">
      <w:pPr>
        <w:pStyle w:val="a3"/>
        <w:ind w:leftChars="0" w:left="1440"/>
        <w:rPr>
          <w:rFonts w:ascii="Times New Roman" w:hAnsi="Times New Roman" w:cs="Times New Roman"/>
        </w:rPr>
      </w:pPr>
    </w:p>
    <w:p w14:paraId="6A629DA0" w14:textId="77777777" w:rsidR="0095370E" w:rsidRPr="007B3A57" w:rsidRDefault="0095370E" w:rsidP="0030435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溝通意見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A10391" w:rsidRPr="007B3A57" w14:paraId="69DC857C" w14:textId="77777777" w:rsidTr="00171CE4">
        <w:tc>
          <w:tcPr>
            <w:tcW w:w="8356" w:type="dxa"/>
          </w:tcPr>
          <w:p w14:paraId="6445EE86" w14:textId="77777777" w:rsidR="00C14377" w:rsidRPr="007B3A57" w:rsidRDefault="00C14377" w:rsidP="00C14377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人與人</w:t>
            </w:r>
            <w:proofErr w:type="gramStart"/>
            <w:r w:rsidRPr="007B3A57">
              <w:rPr>
                <w:rFonts w:ascii="Times New Roman" w:hAnsi="Times New Roman" w:cs="Times New Roman"/>
              </w:rPr>
              <w:t>之間、</w:t>
            </w:r>
            <w:proofErr w:type="gramEnd"/>
            <w:r w:rsidRPr="007B3A57">
              <w:rPr>
                <w:rFonts w:ascii="Times New Roman" w:hAnsi="Times New Roman" w:cs="Times New Roman"/>
              </w:rPr>
              <w:t>族群與族群</w:t>
            </w:r>
            <w:proofErr w:type="gramStart"/>
            <w:r w:rsidRPr="007B3A57">
              <w:rPr>
                <w:rFonts w:ascii="Times New Roman" w:hAnsi="Times New Roman" w:cs="Times New Roman"/>
              </w:rPr>
              <w:t>之間，</w:t>
            </w:r>
            <w:proofErr w:type="gramEnd"/>
            <w:r w:rsidRPr="007B3A57">
              <w:rPr>
                <w:rFonts w:ascii="Times New Roman" w:hAnsi="Times New Roman" w:cs="Times New Roman"/>
              </w:rPr>
              <w:t>因為有言論自由，而能夠相互理解與溝通，進而導致相互包容及多元的社會文化。</w:t>
            </w:r>
          </w:p>
        </w:tc>
      </w:tr>
    </w:tbl>
    <w:p w14:paraId="4BF9DB16" w14:textId="77777777" w:rsidR="00A10391" w:rsidRPr="007B3A57" w:rsidRDefault="00A10391" w:rsidP="00A10391">
      <w:pPr>
        <w:pStyle w:val="a3"/>
        <w:ind w:leftChars="0" w:left="1440"/>
        <w:rPr>
          <w:rFonts w:ascii="Times New Roman" w:hAnsi="Times New Roman" w:cs="Times New Roman"/>
        </w:rPr>
      </w:pPr>
    </w:p>
    <w:p w14:paraId="4B56AA31" w14:textId="77777777" w:rsidR="0095370E" w:rsidRPr="007B3A57" w:rsidRDefault="0095370E" w:rsidP="00304357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健全民主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C14377" w:rsidRPr="007B3A57" w14:paraId="69460CA3" w14:textId="77777777" w:rsidTr="00171CE4">
        <w:tc>
          <w:tcPr>
            <w:tcW w:w="8356" w:type="dxa"/>
          </w:tcPr>
          <w:p w14:paraId="56CBF36A" w14:textId="77777777" w:rsidR="00C14377" w:rsidRPr="007B3A57" w:rsidRDefault="00546308" w:rsidP="00DA3F8D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言論自由為民主制度不可或缺之前提要件，</w:t>
            </w:r>
            <w:r w:rsidR="00C14377" w:rsidRPr="007B3A57">
              <w:rPr>
                <w:rFonts w:ascii="Times New Roman" w:hAnsi="Times New Roman" w:cs="Times New Roman"/>
              </w:rPr>
              <w:t>無論是代議或直接民主，</w:t>
            </w:r>
            <w:r w:rsidR="00DA3F8D" w:rsidRPr="007B3A57">
              <w:rPr>
                <w:rFonts w:ascii="Times New Roman" w:hAnsi="Times New Roman" w:cs="Times New Roman"/>
                <w:color w:val="000000" w:themeColor="text1"/>
              </w:rPr>
              <w:t>若</w:t>
            </w:r>
            <w:r w:rsidR="00C14377" w:rsidRPr="007B3A57">
              <w:rPr>
                <w:rFonts w:ascii="Times New Roman" w:hAnsi="Times New Roman" w:cs="Times New Roman"/>
              </w:rPr>
              <w:t>無充分的資訊提供給人民做參考，則民主制度無法落實。</w:t>
            </w:r>
          </w:p>
        </w:tc>
      </w:tr>
    </w:tbl>
    <w:p w14:paraId="3F5FAEF8" w14:textId="77777777" w:rsidR="00C14377" w:rsidRPr="007B3A57" w:rsidRDefault="00C14377" w:rsidP="00C14377">
      <w:pPr>
        <w:pStyle w:val="a3"/>
        <w:ind w:leftChars="0" w:left="1440"/>
        <w:rPr>
          <w:rFonts w:ascii="Times New Roman" w:hAnsi="Times New Roman" w:cs="Times New Roman"/>
        </w:rPr>
      </w:pPr>
    </w:p>
    <w:p w14:paraId="54C82D32" w14:textId="77777777" w:rsidR="0095370E" w:rsidRPr="007B3A57" w:rsidRDefault="0095370E" w:rsidP="0095370E">
      <w:pPr>
        <w:pStyle w:val="a3"/>
        <w:ind w:leftChars="0" w:left="1440"/>
        <w:rPr>
          <w:rFonts w:ascii="Times New Roman" w:hAnsi="Times New Roman" w:cs="Times New Roman"/>
        </w:rPr>
      </w:pPr>
    </w:p>
    <w:p w14:paraId="1E7AAD7C" w14:textId="77777777" w:rsidR="003078DE" w:rsidRPr="007B3A57" w:rsidRDefault="003078DE" w:rsidP="003078D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言論類型</w:t>
      </w:r>
    </w:p>
    <w:p w14:paraId="635E2B1D" w14:textId="77777777" w:rsidR="0095370E" w:rsidRPr="007B3A57" w:rsidRDefault="0095370E" w:rsidP="0095370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語言文字與非語言文字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C14377" w:rsidRPr="007B3A57" w14:paraId="60CEAD2B" w14:textId="77777777" w:rsidTr="00171CE4">
        <w:tc>
          <w:tcPr>
            <w:tcW w:w="8356" w:type="dxa"/>
          </w:tcPr>
          <w:p w14:paraId="2EA8D2CD" w14:textId="77777777" w:rsidR="00C14377" w:rsidRPr="007B3A57" w:rsidRDefault="00C14377" w:rsidP="001E245E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語言文字：</w:t>
            </w:r>
            <w:r w:rsidR="001E245E" w:rsidRPr="007B3A57">
              <w:rPr>
                <w:rFonts w:ascii="Times New Roman" w:hAnsi="Times New Roman" w:cs="Times New Roman"/>
              </w:rPr>
              <w:t>文字為高度文明的象徵，可</w:t>
            </w:r>
            <w:r w:rsidRPr="007B3A57">
              <w:rPr>
                <w:rFonts w:ascii="Times New Roman" w:hAnsi="Times New Roman" w:cs="Times New Roman"/>
              </w:rPr>
              <w:t>超越人類現實經驗，是傳遞訊息、表達思想重要的載體。</w:t>
            </w:r>
            <w:r w:rsidR="001E245E" w:rsidRPr="007B3A57">
              <w:rPr>
                <w:rFonts w:ascii="Times New Roman" w:hAnsi="Times New Roman" w:cs="Times New Roman"/>
              </w:rPr>
              <w:t>例如書籍、報章雜誌</w:t>
            </w:r>
            <w:proofErr w:type="gramStart"/>
            <w:r w:rsidR="001E245E" w:rsidRPr="007B3A57">
              <w:rPr>
                <w:rFonts w:ascii="Times New Roman" w:hAnsi="Times New Roman" w:cs="Times New Roman"/>
              </w:rPr>
              <w:t>等均屬之</w:t>
            </w:r>
            <w:proofErr w:type="gramEnd"/>
            <w:r w:rsidR="001E245E" w:rsidRPr="007B3A57">
              <w:rPr>
                <w:rFonts w:ascii="Times New Roman" w:hAnsi="Times New Roman" w:cs="Times New Roman"/>
              </w:rPr>
              <w:t>。</w:t>
            </w:r>
          </w:p>
          <w:p w14:paraId="1DABBF18" w14:textId="77777777" w:rsidR="00C14377" w:rsidRPr="007B3A57" w:rsidRDefault="00C14377" w:rsidP="001E245E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非語言文字：例如色彩、音符、肢體語言</w:t>
            </w:r>
            <w:r w:rsidRPr="007B3A57">
              <w:rPr>
                <w:rFonts w:ascii="Times New Roman" w:hAnsi="Times New Roman" w:cs="Times New Roman"/>
              </w:rPr>
              <w:t>(body language)</w:t>
            </w:r>
            <w:r w:rsidR="001E245E" w:rsidRPr="007B3A57">
              <w:rPr>
                <w:rFonts w:ascii="Times New Roman" w:hAnsi="Times New Roman" w:cs="Times New Roman"/>
              </w:rPr>
              <w:t>，諸多藝術創作皆包含在</w:t>
            </w:r>
            <w:r w:rsidRPr="007B3A57">
              <w:rPr>
                <w:rFonts w:ascii="Times New Roman" w:hAnsi="Times New Roman" w:cs="Times New Roman"/>
              </w:rPr>
              <w:t>言論自由及思想自由的範疇</w:t>
            </w:r>
            <w:r w:rsidR="001E245E" w:rsidRPr="007B3A57">
              <w:rPr>
                <w:rFonts w:ascii="Times New Roman" w:hAnsi="Times New Roman" w:cs="Times New Roman"/>
              </w:rPr>
              <w:t>當</w:t>
            </w:r>
            <w:r w:rsidRPr="007B3A57">
              <w:rPr>
                <w:rFonts w:ascii="Times New Roman" w:hAnsi="Times New Roman" w:cs="Times New Roman"/>
              </w:rPr>
              <w:t>中。</w:t>
            </w:r>
          </w:p>
        </w:tc>
      </w:tr>
    </w:tbl>
    <w:p w14:paraId="73D64653" w14:textId="77777777" w:rsidR="00C14377" w:rsidRPr="007B3A57" w:rsidRDefault="00C14377" w:rsidP="00C14377">
      <w:pPr>
        <w:pStyle w:val="a3"/>
        <w:ind w:leftChars="0" w:left="1440"/>
        <w:rPr>
          <w:rFonts w:ascii="Times New Roman" w:hAnsi="Times New Roman" w:cs="Times New Roman"/>
        </w:rPr>
      </w:pPr>
    </w:p>
    <w:p w14:paraId="7E54DA15" w14:textId="77777777" w:rsidR="0095370E" w:rsidRPr="007B3A57" w:rsidRDefault="008D56F4" w:rsidP="0095370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高價值、中價值及</w:t>
      </w:r>
      <w:r w:rsidR="0095370E" w:rsidRPr="007B3A57">
        <w:rPr>
          <w:rFonts w:ascii="Times New Roman" w:hAnsi="Times New Roman" w:cs="Times New Roman"/>
        </w:rPr>
        <w:t>低價值言論</w:t>
      </w:r>
    </w:p>
    <w:tbl>
      <w:tblPr>
        <w:tblStyle w:val="ab"/>
        <w:tblW w:w="0" w:type="auto"/>
        <w:tblInd w:w="14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C14377" w:rsidRPr="007B3A57" w14:paraId="628D2AE8" w14:textId="77777777" w:rsidTr="00B271DB">
        <w:tc>
          <w:tcPr>
            <w:tcW w:w="8356" w:type="dxa"/>
          </w:tcPr>
          <w:p w14:paraId="183F4241" w14:textId="007C0B4A" w:rsidR="00C14377" w:rsidRPr="007B3A57" w:rsidRDefault="008F3164" w:rsidP="00D3284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來源：由</w:t>
            </w:r>
            <w:r w:rsidR="00C14377" w:rsidRPr="007B3A57">
              <w:rPr>
                <w:rFonts w:ascii="Times New Roman" w:hAnsi="Times New Roman" w:cs="Times New Roman"/>
              </w:rPr>
              <w:t>美國法</w:t>
            </w:r>
            <w:r w:rsidRPr="007B3A57">
              <w:rPr>
                <w:rFonts w:ascii="Times New Roman" w:hAnsi="Times New Roman" w:cs="Times New Roman"/>
              </w:rPr>
              <w:t>發展而成</w:t>
            </w:r>
            <w:r w:rsidR="00C14377" w:rsidRPr="007B3A57">
              <w:rPr>
                <w:rFonts w:ascii="Times New Roman" w:hAnsi="Times New Roman" w:cs="Times New Roman"/>
              </w:rPr>
              <w:t>。</w:t>
            </w:r>
          </w:p>
          <w:p w14:paraId="4DDD7D5F" w14:textId="77777777" w:rsidR="00D75777" w:rsidRPr="007B3A57" w:rsidRDefault="00D75777" w:rsidP="00D3284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定義：</w:t>
            </w:r>
          </w:p>
          <w:p w14:paraId="451F8379" w14:textId="77777777" w:rsidR="00D75777" w:rsidRPr="007B3A57" w:rsidRDefault="00D75777" w:rsidP="00D3284C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高價值言論：比較有意義、對人類文明有所幫助者</w:t>
            </w:r>
            <w:r w:rsidR="00E45A7B" w:rsidRPr="007B3A57">
              <w:rPr>
                <w:rFonts w:ascii="Times New Roman" w:hAnsi="Times New Roman" w:cs="Times New Roman"/>
              </w:rPr>
              <w:t>，例如</w:t>
            </w:r>
            <w:r w:rsidR="00B55087" w:rsidRPr="007B3A57">
              <w:rPr>
                <w:rFonts w:ascii="Times New Roman" w:hAnsi="Times New Roman" w:cs="Times New Roman"/>
              </w:rPr>
              <w:t>科學研究、</w:t>
            </w:r>
            <w:r w:rsidR="00E45A7B" w:rsidRPr="007B3A57">
              <w:rPr>
                <w:rFonts w:ascii="Times New Roman" w:hAnsi="Times New Roman" w:cs="Times New Roman"/>
              </w:rPr>
              <w:t>藝術創作</w:t>
            </w:r>
            <w:r w:rsidR="00B55087" w:rsidRPr="007B3A57">
              <w:rPr>
                <w:rFonts w:ascii="Times New Roman" w:hAnsi="Times New Roman" w:cs="Times New Roman"/>
              </w:rPr>
              <w:t>及</w:t>
            </w:r>
            <w:r w:rsidR="00E45A7B" w:rsidRPr="007B3A57">
              <w:rPr>
                <w:rFonts w:ascii="Times New Roman" w:hAnsi="Times New Roman" w:cs="Times New Roman"/>
              </w:rPr>
              <w:t>政治</w:t>
            </w:r>
            <w:r w:rsidR="00B55087" w:rsidRPr="007B3A57">
              <w:rPr>
                <w:rFonts w:ascii="Times New Roman" w:hAnsi="Times New Roman" w:cs="Times New Roman"/>
              </w:rPr>
              <w:t>語言</w:t>
            </w:r>
            <w:r w:rsidRPr="007B3A57">
              <w:rPr>
                <w:rFonts w:ascii="Times New Roman" w:hAnsi="Times New Roman" w:cs="Times New Roman"/>
              </w:rPr>
              <w:t>。</w:t>
            </w:r>
          </w:p>
          <w:p w14:paraId="65038A41" w14:textId="77777777" w:rsidR="00D75777" w:rsidRPr="007B3A57" w:rsidRDefault="00F86FCD" w:rsidP="00D3284C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低價值言論：較無價值或意義的言論，例如色情言論</w:t>
            </w:r>
            <w:r w:rsidR="00D75777" w:rsidRPr="007B3A57">
              <w:rPr>
                <w:rFonts w:ascii="Times New Roman" w:hAnsi="Times New Roman" w:cs="Times New Roman"/>
              </w:rPr>
              <w:t>。</w:t>
            </w:r>
          </w:p>
          <w:p w14:paraId="53DBBC86" w14:textId="77777777" w:rsidR="00C14377" w:rsidRPr="007B3A57" w:rsidRDefault="00D75777" w:rsidP="00D3284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分類實益：</w:t>
            </w:r>
            <w:r w:rsidR="00C14377" w:rsidRPr="007B3A57">
              <w:rPr>
                <w:rFonts w:ascii="Times New Roman" w:hAnsi="Times New Roman" w:cs="Times New Roman"/>
              </w:rPr>
              <w:t>對於不同價值</w:t>
            </w:r>
            <w:r w:rsidR="000765BD" w:rsidRPr="007B3A57">
              <w:rPr>
                <w:rFonts w:ascii="Times New Roman" w:hAnsi="Times New Roman" w:cs="Times New Roman"/>
              </w:rPr>
              <w:t>的</w:t>
            </w:r>
            <w:r w:rsidR="00C14377" w:rsidRPr="007B3A57">
              <w:rPr>
                <w:rFonts w:ascii="Times New Roman" w:hAnsi="Times New Roman" w:cs="Times New Roman"/>
              </w:rPr>
              <w:t>言論，</w:t>
            </w:r>
            <w:r w:rsidR="000765BD" w:rsidRPr="007B3A57">
              <w:rPr>
                <w:rFonts w:ascii="Times New Roman" w:hAnsi="Times New Roman" w:cs="Times New Roman"/>
              </w:rPr>
              <w:t>採取寬嚴程度不一</w:t>
            </w:r>
            <w:r w:rsidR="00097894" w:rsidRPr="007B3A57">
              <w:rPr>
                <w:rFonts w:ascii="Times New Roman" w:hAnsi="Times New Roman" w:cs="Times New Roman"/>
              </w:rPr>
              <w:t>的</w:t>
            </w:r>
            <w:r w:rsidR="008F3164" w:rsidRPr="007B3A57">
              <w:rPr>
                <w:rFonts w:ascii="Times New Roman" w:hAnsi="Times New Roman" w:cs="Times New Roman"/>
              </w:rPr>
              <w:t>管制標準</w:t>
            </w:r>
            <w:r w:rsidR="000765BD" w:rsidRPr="007B3A57">
              <w:rPr>
                <w:rFonts w:ascii="Times New Roman" w:hAnsi="Times New Roman" w:cs="Times New Roman"/>
              </w:rPr>
              <w:t>及審查態度</w:t>
            </w:r>
            <w:r w:rsidR="00097894" w:rsidRPr="007B3A57">
              <w:rPr>
                <w:rFonts w:ascii="Times New Roman" w:hAnsi="Times New Roman" w:cs="Times New Roman"/>
              </w:rPr>
              <w:t>。</w:t>
            </w:r>
          </w:p>
          <w:p w14:paraId="2FDC4383" w14:textId="77777777" w:rsidR="00D83F1B" w:rsidRPr="007B3A57" w:rsidRDefault="00D83F1B" w:rsidP="00D3284C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高</w:t>
            </w:r>
            <w:r w:rsidR="008F3164" w:rsidRPr="007B3A57">
              <w:rPr>
                <w:rFonts w:ascii="Times New Roman" w:hAnsi="Times New Roman" w:cs="Times New Roman"/>
              </w:rPr>
              <w:t>價值言論：</w:t>
            </w:r>
            <w:r w:rsidRPr="007B3A57">
              <w:rPr>
                <w:rFonts w:ascii="Times New Roman" w:hAnsi="Times New Roman" w:cs="Times New Roman"/>
              </w:rPr>
              <w:t>國家欲對其</w:t>
            </w:r>
            <w:r w:rsidR="008F3164" w:rsidRPr="007B3A57">
              <w:rPr>
                <w:rFonts w:ascii="Times New Roman" w:hAnsi="Times New Roman" w:cs="Times New Roman"/>
              </w:rPr>
              <w:t>進行限制時，</w:t>
            </w:r>
            <w:r w:rsidRPr="007B3A57">
              <w:rPr>
                <w:rFonts w:ascii="Times New Roman" w:hAnsi="Times New Roman" w:cs="Times New Roman"/>
              </w:rPr>
              <w:t>須有較堅實之理由</w:t>
            </w:r>
            <w:r w:rsidR="008F3164" w:rsidRPr="007B3A57">
              <w:rPr>
                <w:rFonts w:ascii="Times New Roman" w:hAnsi="Times New Roman" w:cs="Times New Roman"/>
              </w:rPr>
              <w:t>方可為之。換言之，</w:t>
            </w:r>
            <w:r w:rsidRPr="007B3A57">
              <w:rPr>
                <w:rFonts w:ascii="Times New Roman" w:hAnsi="Times New Roman" w:cs="Times New Roman"/>
              </w:rPr>
              <w:t>司法機關</w:t>
            </w:r>
            <w:r w:rsidR="008F3164" w:rsidRPr="007B3A57">
              <w:rPr>
                <w:rFonts w:ascii="Times New Roman" w:hAnsi="Times New Roman" w:cs="Times New Roman"/>
              </w:rPr>
              <w:t>在審查上應採取嚴格</w:t>
            </w:r>
            <w:r w:rsidR="007E0111" w:rsidRPr="007B3A57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Pr="007B3A57">
              <w:rPr>
                <w:rFonts w:ascii="Times New Roman" w:hAnsi="Times New Roman" w:cs="Times New Roman"/>
              </w:rPr>
              <w:t>態度</w:t>
            </w:r>
            <w:r w:rsidR="008F3164" w:rsidRPr="007B3A57">
              <w:rPr>
                <w:rFonts w:ascii="Times New Roman" w:hAnsi="Times New Roman" w:cs="Times New Roman"/>
              </w:rPr>
              <w:t>，旨在</w:t>
            </w:r>
            <w:r w:rsidRPr="007B3A57">
              <w:rPr>
                <w:rFonts w:ascii="Times New Roman" w:hAnsi="Times New Roman" w:cs="Times New Roman"/>
              </w:rPr>
              <w:t>保障此種言論能</w:t>
            </w:r>
            <w:r w:rsidR="008F3164" w:rsidRPr="007B3A57">
              <w:rPr>
                <w:rFonts w:ascii="Times New Roman" w:hAnsi="Times New Roman" w:cs="Times New Roman"/>
              </w:rPr>
              <w:t>盡量於</w:t>
            </w:r>
            <w:r w:rsidRPr="007B3A57">
              <w:rPr>
                <w:rFonts w:ascii="Times New Roman" w:hAnsi="Times New Roman" w:cs="Times New Roman"/>
              </w:rPr>
              <w:t>社會上自由傳遞。</w:t>
            </w:r>
          </w:p>
          <w:p w14:paraId="3016C278" w14:textId="77777777" w:rsidR="00D83F1B" w:rsidRPr="007B3A57" w:rsidRDefault="00D83F1B" w:rsidP="00D3284C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低價值言論：</w:t>
            </w:r>
            <w:r w:rsidR="008F3164" w:rsidRPr="007B3A57">
              <w:rPr>
                <w:rFonts w:ascii="Times New Roman" w:hAnsi="Times New Roman" w:cs="Times New Roman"/>
              </w:rPr>
              <w:t>司法機關</w:t>
            </w:r>
            <w:r w:rsidR="00BB4178" w:rsidRPr="007B3A57">
              <w:rPr>
                <w:rFonts w:ascii="Times New Roman" w:hAnsi="Times New Roman" w:cs="Times New Roman"/>
              </w:rPr>
              <w:t>針</w:t>
            </w:r>
            <w:r w:rsidR="008F3164" w:rsidRPr="007B3A57">
              <w:rPr>
                <w:rFonts w:ascii="Times New Roman" w:hAnsi="Times New Roman" w:cs="Times New Roman"/>
              </w:rPr>
              <w:t>對</w:t>
            </w:r>
            <w:r w:rsidR="00BB4178" w:rsidRPr="007B3A57">
              <w:rPr>
                <w:rFonts w:ascii="Times New Roman" w:hAnsi="Times New Roman" w:cs="Times New Roman"/>
                <w:color w:val="000000" w:themeColor="text1"/>
              </w:rPr>
              <w:t>政府</w:t>
            </w:r>
            <w:r w:rsidR="008F3164" w:rsidRPr="007B3A57">
              <w:rPr>
                <w:rFonts w:ascii="Times New Roman" w:hAnsi="Times New Roman" w:cs="Times New Roman"/>
              </w:rPr>
              <w:t>管制此種言論的</w:t>
            </w:r>
            <w:r w:rsidR="00BB4178" w:rsidRPr="007B3A57">
              <w:rPr>
                <w:rFonts w:ascii="Times New Roman" w:hAnsi="Times New Roman" w:cs="Times New Roman"/>
                <w:color w:val="000000" w:themeColor="text1"/>
              </w:rPr>
              <w:t>理由與行為</w:t>
            </w:r>
            <w:r w:rsidRPr="007B3A57">
              <w:rPr>
                <w:rFonts w:ascii="Times New Roman" w:hAnsi="Times New Roman" w:cs="Times New Roman"/>
              </w:rPr>
              <w:t>，採取寬鬆的審查態度。</w:t>
            </w:r>
          </w:p>
          <w:p w14:paraId="742F532D" w14:textId="77777777" w:rsidR="00D83F1B" w:rsidRPr="007B3A57" w:rsidRDefault="00D83F1B" w:rsidP="00D3284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如何判別高低價值言論？</w:t>
            </w:r>
          </w:p>
          <w:p w14:paraId="5696E087" w14:textId="77777777" w:rsidR="00D83F1B" w:rsidRPr="007B3A57" w:rsidRDefault="00D83F1B" w:rsidP="00D3284C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言論內容是否傳遞某種理念或思想</w:t>
            </w:r>
            <w:r w:rsidR="00D67607" w:rsidRPr="007B3A57">
              <w:rPr>
                <w:rFonts w:ascii="Times New Roman" w:hAnsi="Times New Roman" w:cs="Times New Roman"/>
              </w:rPr>
              <w:t>。</w:t>
            </w:r>
          </w:p>
          <w:p w14:paraId="221FEEE5" w14:textId="77777777" w:rsidR="00D83F1B" w:rsidRPr="007B3A57" w:rsidRDefault="00D83F1B" w:rsidP="00D3284C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此理念或思想之目的</w:t>
            </w:r>
            <w:r w:rsidR="00D67607" w:rsidRPr="007B3A57">
              <w:rPr>
                <w:rFonts w:ascii="Times New Roman" w:hAnsi="Times New Roman" w:cs="Times New Roman"/>
              </w:rPr>
              <w:t>為何。</w:t>
            </w:r>
          </w:p>
          <w:p w14:paraId="1F12E32B" w14:textId="5CB9C0A4" w:rsidR="008D6A3D" w:rsidRPr="007B3A57" w:rsidRDefault="008D6A3D" w:rsidP="00D3284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言論內容區分：</w:t>
            </w:r>
          </w:p>
          <w:p w14:paraId="178E4802" w14:textId="1FE7A040" w:rsidR="008D6A3D" w:rsidRPr="007B3A57" w:rsidRDefault="008D6A3D" w:rsidP="00D3284C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事實陳述：客觀。</w:t>
            </w:r>
          </w:p>
          <w:p w14:paraId="508799BA" w14:textId="77777777" w:rsidR="008D6A3D" w:rsidRPr="007B3A57" w:rsidRDefault="008D6A3D" w:rsidP="00D3284C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意見表達：主觀。</w:t>
            </w:r>
          </w:p>
          <w:p w14:paraId="15CB0323" w14:textId="026E97E5" w:rsidR="0078008B" w:rsidRPr="007B3A57" w:rsidRDefault="00073C56" w:rsidP="00D3284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虛擬</w:t>
            </w:r>
            <w:r w:rsidR="0078008B" w:rsidRPr="007B3A57">
              <w:rPr>
                <w:rFonts w:ascii="Times New Roman" w:hAnsi="Times New Roman" w:cs="Times New Roman"/>
              </w:rPr>
              <w:t>案例思考：某位政治人物發表以下言論，試問國家能不能對其進行管制？「根據統計數字顯示，</w:t>
            </w:r>
            <w:r w:rsidR="00D3284C" w:rsidRPr="007B3A57">
              <w:rPr>
                <w:rFonts w:ascii="Times New Roman" w:hAnsi="Times New Roman" w:cs="Times New Roman"/>
              </w:rPr>
              <w:t>有色人種通常較</w:t>
            </w:r>
            <w:r w:rsidR="0080061F" w:rsidRPr="007B3A57">
              <w:rPr>
                <w:rFonts w:ascii="Times New Roman" w:hAnsi="Times New Roman" w:cs="Times New Roman"/>
              </w:rPr>
              <w:t>容易犯罪，且較</w:t>
            </w:r>
            <w:r w:rsidR="00D3284C" w:rsidRPr="007B3A57">
              <w:rPr>
                <w:rFonts w:ascii="Times New Roman" w:hAnsi="Times New Roman" w:cs="Times New Roman"/>
              </w:rPr>
              <w:t>為好吃懶做、</w:t>
            </w:r>
            <w:r w:rsidR="0080061F" w:rsidRPr="007B3A57">
              <w:rPr>
                <w:rFonts w:ascii="Times New Roman" w:hAnsi="Times New Roman" w:cs="Times New Roman"/>
              </w:rPr>
              <w:t>多數</w:t>
            </w:r>
            <w:r w:rsidR="00D3284C" w:rsidRPr="007B3A57">
              <w:rPr>
                <w:rFonts w:ascii="Times New Roman" w:hAnsi="Times New Roman" w:cs="Times New Roman"/>
              </w:rPr>
              <w:t>靠著領取</w:t>
            </w:r>
            <w:r w:rsidR="0078008B" w:rsidRPr="007B3A57">
              <w:rPr>
                <w:rFonts w:ascii="Times New Roman" w:hAnsi="Times New Roman" w:cs="Times New Roman"/>
              </w:rPr>
              <w:t>社會救濟</w:t>
            </w:r>
            <w:r w:rsidR="0080061F" w:rsidRPr="007B3A57">
              <w:rPr>
                <w:rFonts w:ascii="Times New Roman" w:hAnsi="Times New Roman" w:cs="Times New Roman"/>
              </w:rPr>
              <w:t>金</w:t>
            </w:r>
            <w:r w:rsidR="00D3284C" w:rsidRPr="007B3A57">
              <w:rPr>
                <w:rFonts w:ascii="Times New Roman" w:hAnsi="Times New Roman" w:cs="Times New Roman"/>
              </w:rPr>
              <w:t>過生</w:t>
            </w:r>
            <w:r w:rsidR="00D3284C" w:rsidRPr="007B3A57">
              <w:rPr>
                <w:rFonts w:ascii="Times New Roman" w:hAnsi="Times New Roman" w:cs="Times New Roman"/>
              </w:rPr>
              <w:lastRenderedPageBreak/>
              <w:t>活</w:t>
            </w:r>
            <w:r w:rsidR="0078008B" w:rsidRPr="007B3A57">
              <w:rPr>
                <w:rFonts w:ascii="Times New Roman" w:hAnsi="Times New Roman" w:cs="Times New Roman"/>
              </w:rPr>
              <w:t>，</w:t>
            </w:r>
            <w:r w:rsidR="0080061F" w:rsidRPr="007B3A57">
              <w:rPr>
                <w:rFonts w:ascii="Times New Roman" w:hAnsi="Times New Roman" w:cs="Times New Roman"/>
              </w:rPr>
              <w:t>使其成為國家社會最大的負擔</w:t>
            </w:r>
            <w:r w:rsidR="0078008B" w:rsidRPr="007B3A57">
              <w:rPr>
                <w:rFonts w:ascii="Times New Roman" w:hAnsi="Times New Roman" w:cs="Times New Roman"/>
              </w:rPr>
              <w:t>。因此主張</w:t>
            </w:r>
            <w:r w:rsidR="005E2E4D" w:rsidRPr="007B3A57">
              <w:rPr>
                <w:rFonts w:ascii="Times New Roman" w:hAnsi="Times New Roman" w:cs="Times New Roman"/>
              </w:rPr>
              <w:t>將</w:t>
            </w:r>
            <w:r w:rsidR="0078008B" w:rsidRPr="007B3A57">
              <w:rPr>
                <w:rFonts w:ascii="Times New Roman" w:hAnsi="Times New Roman" w:cs="Times New Roman"/>
              </w:rPr>
              <w:t>有色人種</w:t>
            </w:r>
            <w:r w:rsidR="005E2E4D" w:rsidRPr="007B3A57">
              <w:rPr>
                <w:rFonts w:ascii="Times New Roman" w:hAnsi="Times New Roman" w:cs="Times New Roman"/>
              </w:rPr>
              <w:t>驅趕回</w:t>
            </w:r>
            <w:r w:rsidR="0080061F" w:rsidRPr="007B3A57">
              <w:rPr>
                <w:rFonts w:ascii="Times New Roman" w:hAnsi="Times New Roman" w:cs="Times New Roman"/>
              </w:rPr>
              <w:t>其</w:t>
            </w:r>
            <w:r w:rsidR="002808A5" w:rsidRPr="007B3A57">
              <w:rPr>
                <w:rFonts w:ascii="Times New Roman" w:hAnsi="Times New Roman" w:cs="Times New Roman"/>
              </w:rPr>
              <w:t>原生地</w:t>
            </w:r>
            <w:r w:rsidR="0078008B" w:rsidRPr="007B3A57">
              <w:rPr>
                <w:rFonts w:ascii="Times New Roman" w:hAnsi="Times New Roman" w:cs="Times New Roman"/>
              </w:rPr>
              <w:t>去，</w:t>
            </w:r>
            <w:r w:rsidR="0080061F" w:rsidRPr="007B3A57">
              <w:rPr>
                <w:rFonts w:ascii="Times New Roman" w:hAnsi="Times New Roman" w:cs="Times New Roman"/>
              </w:rPr>
              <w:t>讓黑色的回非洲，黃色的回</w:t>
            </w:r>
            <w:proofErr w:type="gramStart"/>
            <w:r w:rsidR="0080061F" w:rsidRPr="007B3A57">
              <w:rPr>
                <w:rFonts w:ascii="Times New Roman" w:hAnsi="Times New Roman" w:cs="Times New Roman"/>
              </w:rPr>
              <w:t>亞州</w:t>
            </w:r>
            <w:proofErr w:type="gramEnd"/>
            <w:r w:rsidR="0080061F" w:rsidRPr="007B3A57">
              <w:rPr>
                <w:rFonts w:ascii="Times New Roman" w:hAnsi="Times New Roman" w:cs="Times New Roman"/>
              </w:rPr>
              <w:t>，</w:t>
            </w:r>
            <w:r w:rsidR="002808A5" w:rsidRPr="007B3A57">
              <w:rPr>
                <w:rFonts w:ascii="Times New Roman" w:hAnsi="Times New Roman" w:cs="Times New Roman"/>
              </w:rPr>
              <w:t>以</w:t>
            </w:r>
            <w:r w:rsidR="0080061F" w:rsidRPr="007B3A57">
              <w:rPr>
                <w:rFonts w:ascii="Times New Roman" w:hAnsi="Times New Roman" w:cs="Times New Roman"/>
              </w:rPr>
              <w:t>淨化美洲</w:t>
            </w:r>
            <w:r w:rsidR="0078008B" w:rsidRPr="007B3A57">
              <w:rPr>
                <w:rFonts w:ascii="Times New Roman" w:hAnsi="Times New Roman" w:cs="Times New Roman"/>
              </w:rPr>
              <w:t>。」</w:t>
            </w:r>
          </w:p>
          <w:p w14:paraId="7071EB66" w14:textId="77777777" w:rsidR="002808A5" w:rsidRPr="007B3A57" w:rsidRDefault="002808A5" w:rsidP="00D3284C">
            <w:pPr>
              <w:pStyle w:val="a3"/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7B3A57">
              <w:rPr>
                <w:rFonts w:ascii="Times New Roman" w:hAnsi="Times New Roman" w:cs="Times New Roman"/>
                <w:bdr w:val="single" w:sz="4" w:space="0" w:color="auto"/>
              </w:rPr>
              <w:t>思考點</w:t>
            </w:r>
          </w:p>
          <w:p w14:paraId="462DA5F7" w14:textId="43C771D8" w:rsidR="002808A5" w:rsidRPr="007B3A57" w:rsidRDefault="002808A5" w:rsidP="00D3284C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民主政體下，多視政治語言為高價值言論。</w:t>
            </w:r>
            <w:r w:rsidR="0080061F" w:rsidRPr="007B3A57">
              <w:rPr>
                <w:rFonts w:ascii="Times New Roman" w:hAnsi="Times New Roman" w:cs="Times New Roman"/>
              </w:rPr>
              <w:t>但為何政治性言論通常應視為高價值言論？其理由為何？</w:t>
            </w:r>
          </w:p>
          <w:p w14:paraId="254747EC" w14:textId="1550709A" w:rsidR="002808A5" w:rsidRPr="007B3A57" w:rsidRDefault="002808A5" w:rsidP="00D3284C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言論內容</w:t>
            </w:r>
            <w:r w:rsidR="00B271DB" w:rsidRPr="007B3A57">
              <w:rPr>
                <w:rFonts w:ascii="Times New Roman" w:hAnsi="Times New Roman" w:cs="Times New Roman"/>
              </w:rPr>
              <w:t>可</w:t>
            </w:r>
            <w:r w:rsidRPr="007B3A57">
              <w:rPr>
                <w:rFonts w:ascii="Times New Roman" w:hAnsi="Times New Roman" w:cs="Times New Roman"/>
              </w:rPr>
              <w:t>區分成事實陳述與意見表達兩部分。</w:t>
            </w:r>
            <w:r w:rsidR="0080061F" w:rsidRPr="007B3A57">
              <w:rPr>
                <w:rFonts w:ascii="Times New Roman" w:hAnsi="Times New Roman" w:cs="Times New Roman"/>
              </w:rPr>
              <w:t>這段論述有哪些可能是事實陳述？哪些可能是意見表達？</w:t>
            </w:r>
          </w:p>
          <w:p w14:paraId="65E9EE09" w14:textId="77777777" w:rsidR="002808A5" w:rsidRPr="007B3A57" w:rsidRDefault="00C34894" w:rsidP="00D3284C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保障</w:t>
            </w:r>
            <w:r w:rsidR="002808A5" w:rsidRPr="007B3A57">
              <w:rPr>
                <w:rFonts w:ascii="Times New Roman" w:hAnsi="Times New Roman" w:cs="Times New Roman"/>
              </w:rPr>
              <w:t>高價值言論</w:t>
            </w:r>
            <w:r w:rsidRPr="007B3A57">
              <w:rPr>
                <w:rFonts w:ascii="Times New Roman" w:hAnsi="Times New Roman" w:cs="Times New Roman"/>
              </w:rPr>
              <w:t>需有一定範圍限制</w:t>
            </w:r>
            <w:r w:rsidR="00D3284C" w:rsidRPr="007B3A57">
              <w:rPr>
                <w:rFonts w:ascii="Times New Roman" w:hAnsi="Times New Roman" w:cs="Times New Roman"/>
              </w:rPr>
              <w:t>，但程度到哪裡該如何拿捏？標準如何建立？</w:t>
            </w:r>
          </w:p>
          <w:p w14:paraId="46CAF0B6" w14:textId="77777777" w:rsidR="00D3284C" w:rsidRPr="007B3A57" w:rsidRDefault="00D3284C" w:rsidP="00D3284C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公民與政治權利公約第</w:t>
            </w:r>
            <w:r w:rsidRPr="007B3A57">
              <w:rPr>
                <w:rFonts w:ascii="Times New Roman" w:hAnsi="Times New Roman" w:cs="Times New Roman"/>
              </w:rPr>
              <w:t>20</w:t>
            </w:r>
            <w:r w:rsidRPr="007B3A57">
              <w:rPr>
                <w:rFonts w:ascii="Times New Roman" w:hAnsi="Times New Roman" w:cs="Times New Roman"/>
              </w:rPr>
              <w:t>條：「任何鼓吹戰爭之宣傳，應以法律禁止之。任何鼓吹民族、種族或宗教仇恨之主張，構成煽動歧視、敵視或強暴者，應以法律禁止之。」</w:t>
            </w:r>
            <w:r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CFB9638" wp14:editId="4ABEBEBB">
                  <wp:extent cx="222636" cy="195005"/>
                  <wp:effectExtent l="0" t="0" r="6350" b="0"/>
                  <wp:docPr id="10" name="圖片 1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356E9" w14:textId="471A04F5" w:rsidR="00487881" w:rsidRPr="007B3A57" w:rsidRDefault="00487881" w:rsidP="00487881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言論管制判別標準：</w:t>
            </w:r>
          </w:p>
          <w:p w14:paraId="30E972FE" w14:textId="45686A07" w:rsidR="00487881" w:rsidRPr="007B3A57" w:rsidRDefault="00487881" w:rsidP="00487881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 xml:space="preserve">1. </w:t>
            </w:r>
            <w:r w:rsidR="00ED0C4D" w:rsidRPr="007B3A57">
              <w:rPr>
                <w:rFonts w:ascii="Times New Roman" w:hAnsi="Times New Roman" w:cs="Times New Roman"/>
              </w:rPr>
              <w:t xml:space="preserve"> </w:t>
            </w:r>
            <w:r w:rsidRPr="007B3A57">
              <w:rPr>
                <w:rFonts w:ascii="Times New Roman" w:hAnsi="Times New Roman" w:cs="Times New Roman"/>
              </w:rPr>
              <w:t>維護個體人格權、名譽權。</w:t>
            </w:r>
          </w:p>
          <w:p w14:paraId="75308C8E" w14:textId="51B85F51" w:rsidR="00487881" w:rsidRPr="007B3A57" w:rsidRDefault="00487881" w:rsidP="00487881">
            <w:pPr>
              <w:jc w:val="both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 xml:space="preserve">      2. </w:t>
            </w:r>
            <w:r w:rsidR="00ED0C4D" w:rsidRPr="007B3A57">
              <w:rPr>
                <w:rFonts w:ascii="Times New Roman" w:hAnsi="Times New Roman" w:cs="Times New Roman"/>
              </w:rPr>
              <w:t xml:space="preserve"> </w:t>
            </w:r>
            <w:r w:rsidRPr="007B3A57">
              <w:rPr>
                <w:rFonts w:ascii="Times New Roman" w:hAnsi="Times New Roman" w:cs="Times New Roman"/>
              </w:rPr>
              <w:t>維繫公共利益。</w:t>
            </w:r>
          </w:p>
        </w:tc>
      </w:tr>
    </w:tbl>
    <w:p w14:paraId="5CB3E1EB" w14:textId="77777777" w:rsidR="0095370E" w:rsidRPr="007B3A57" w:rsidRDefault="0095370E" w:rsidP="0095370E">
      <w:pPr>
        <w:pStyle w:val="a3"/>
        <w:ind w:leftChars="0" w:left="1440"/>
        <w:rPr>
          <w:rFonts w:ascii="Times New Roman" w:hAnsi="Times New Roman" w:cs="Times New Roman"/>
        </w:rPr>
      </w:pPr>
    </w:p>
    <w:p w14:paraId="7BEED3D4" w14:textId="77777777" w:rsidR="003078DE" w:rsidRPr="007B3A57" w:rsidRDefault="003078DE" w:rsidP="003078D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管制架構</w:t>
      </w:r>
    </w:p>
    <w:p w14:paraId="14415598" w14:textId="77777777" w:rsidR="0095370E" w:rsidRPr="007B3A57" w:rsidRDefault="0095370E" w:rsidP="0095370E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內容管制與非內容管制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DE2F2A" w:rsidRPr="007B3A57" w14:paraId="78A0B3DC" w14:textId="77777777" w:rsidTr="00DE2F2A">
        <w:tc>
          <w:tcPr>
            <w:tcW w:w="8356" w:type="dxa"/>
          </w:tcPr>
          <w:p w14:paraId="7BCA5DC9" w14:textId="366EADF2" w:rsidR="00487881" w:rsidRPr="007B3A57" w:rsidRDefault="00487881" w:rsidP="0048788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意涵：管制標的為何？</w:t>
            </w:r>
          </w:p>
          <w:p w14:paraId="47589351" w14:textId="35AA0E83" w:rsidR="00DE2F2A" w:rsidRPr="007B3A57" w:rsidRDefault="00487881" w:rsidP="0048788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區別實益：司法審查態度寬嚴之分。</w:t>
            </w:r>
          </w:p>
          <w:p w14:paraId="6A21542C" w14:textId="1BA6FB72" w:rsidR="00487881" w:rsidRPr="007B3A57" w:rsidRDefault="00487881" w:rsidP="00487881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內容管制：應</w:t>
            </w:r>
            <w:proofErr w:type="gramStart"/>
            <w:r w:rsidRPr="007B3A57">
              <w:rPr>
                <w:rFonts w:ascii="Times New Roman" w:hAnsi="Times New Roman" w:cs="Times New Roman"/>
              </w:rPr>
              <w:t>採</w:t>
            </w:r>
            <w:proofErr w:type="gramEnd"/>
            <w:r w:rsidRPr="007B3A57">
              <w:rPr>
                <w:rFonts w:ascii="Times New Roman" w:hAnsi="Times New Roman" w:cs="Times New Roman"/>
              </w:rPr>
              <w:t>嚴格審查態度。</w:t>
            </w:r>
          </w:p>
          <w:p w14:paraId="212DE46B" w14:textId="01D2DE64" w:rsidR="00487881" w:rsidRPr="007B3A57" w:rsidRDefault="00487881" w:rsidP="00487881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非內容管制：非涉及言論內容者，例如時段限制，</w:t>
            </w:r>
            <w:proofErr w:type="gramStart"/>
            <w:r w:rsidRPr="007B3A57">
              <w:rPr>
                <w:rFonts w:ascii="Times New Roman" w:hAnsi="Times New Roman" w:cs="Times New Roman"/>
              </w:rPr>
              <w:t>採</w:t>
            </w:r>
            <w:proofErr w:type="gramEnd"/>
            <w:r w:rsidRPr="007B3A57">
              <w:rPr>
                <w:rFonts w:ascii="Times New Roman" w:hAnsi="Times New Roman" w:cs="Times New Roman"/>
              </w:rPr>
              <w:t>行較寬鬆態度。</w:t>
            </w:r>
          </w:p>
        </w:tc>
      </w:tr>
    </w:tbl>
    <w:p w14:paraId="210B4E15" w14:textId="77777777" w:rsidR="00DE2F2A" w:rsidRPr="007B3A57" w:rsidRDefault="00DE2F2A" w:rsidP="00DE2F2A">
      <w:pPr>
        <w:pStyle w:val="a3"/>
        <w:ind w:leftChars="0" w:left="1440"/>
        <w:rPr>
          <w:rFonts w:ascii="Times New Roman" w:hAnsi="Times New Roman" w:cs="Times New Roman"/>
        </w:rPr>
      </w:pPr>
    </w:p>
    <w:p w14:paraId="297D5926" w14:textId="77777777" w:rsidR="00A5630C" w:rsidRPr="007B3A57" w:rsidRDefault="0095370E" w:rsidP="00A5630C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事前審查與事後審查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DE2F2A" w:rsidRPr="007B3A57" w14:paraId="56C32091" w14:textId="77777777" w:rsidTr="00DE2F2A">
        <w:tc>
          <w:tcPr>
            <w:tcW w:w="8356" w:type="dxa"/>
          </w:tcPr>
          <w:p w14:paraId="7C25D6EB" w14:textId="5C1FAE3A" w:rsidR="00487881" w:rsidRPr="007B3A57" w:rsidRDefault="00487881" w:rsidP="0048788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意涵：管制階段</w:t>
            </w:r>
            <w:r w:rsidR="001D7722" w:rsidRPr="007B3A57">
              <w:rPr>
                <w:rFonts w:ascii="Times New Roman" w:hAnsi="Times New Roman" w:cs="Times New Roman"/>
              </w:rPr>
              <w:t>為何？從時間上而論。</w:t>
            </w:r>
          </w:p>
          <w:p w14:paraId="4F13E61E" w14:textId="77777777" w:rsidR="00487881" w:rsidRPr="007B3A57" w:rsidRDefault="00487881" w:rsidP="001D772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區別實益：</w:t>
            </w:r>
          </w:p>
          <w:p w14:paraId="0FE41519" w14:textId="2D16259B" w:rsidR="001D7722" w:rsidRPr="007B3A57" w:rsidRDefault="001D7722" w:rsidP="001D7722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事前管制：抑制、預防效果。</w:t>
            </w:r>
          </w:p>
          <w:p w14:paraId="1D54AA8A" w14:textId="77777777" w:rsidR="001D7722" w:rsidRPr="007B3A57" w:rsidRDefault="001D7722" w:rsidP="001D7722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事後管制：追懲效果。</w:t>
            </w:r>
          </w:p>
          <w:p w14:paraId="236C6DEF" w14:textId="15E2D26D" w:rsidR="001D7722" w:rsidRPr="007B3A57" w:rsidRDefault="001D7722" w:rsidP="001D772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言論自由範疇中特別畏懼事前管制，國家進行事前管制時須</w:t>
            </w:r>
            <w:r w:rsidRPr="007B3A57">
              <w:rPr>
                <w:rFonts w:ascii="Times New Roman" w:hAnsi="Times New Roman" w:cs="Times New Roman"/>
              </w:rPr>
              <w:lastRenderedPageBreak/>
              <w:t>特別敏感並</w:t>
            </w:r>
            <w:proofErr w:type="gramStart"/>
            <w:r w:rsidRPr="007B3A57">
              <w:rPr>
                <w:rFonts w:ascii="Times New Roman" w:hAnsi="Times New Roman" w:cs="Times New Roman"/>
              </w:rPr>
              <w:t>採</w:t>
            </w:r>
            <w:proofErr w:type="gramEnd"/>
            <w:r w:rsidR="00ED0C4D" w:rsidRPr="007B3A57">
              <w:rPr>
                <w:rFonts w:ascii="Times New Roman" w:hAnsi="Times New Roman" w:cs="Times New Roman"/>
              </w:rPr>
              <w:t>最</w:t>
            </w:r>
            <w:r w:rsidRPr="007B3A57">
              <w:rPr>
                <w:rFonts w:ascii="Times New Roman" w:hAnsi="Times New Roman" w:cs="Times New Roman"/>
              </w:rPr>
              <w:t>嚴格之審查態度。例如</w:t>
            </w:r>
            <w:r w:rsidR="006214E9" w:rsidRPr="007B3A57">
              <w:rPr>
                <w:rFonts w:ascii="Times New Roman" w:hAnsi="Times New Roman" w:cs="Times New Roman"/>
              </w:rPr>
              <w:t>我國</w:t>
            </w:r>
            <w:r w:rsidR="0080061F" w:rsidRPr="007B3A57">
              <w:rPr>
                <w:rFonts w:ascii="Times New Roman" w:hAnsi="Times New Roman" w:cs="Times New Roman"/>
              </w:rPr>
              <w:t>過去</w:t>
            </w:r>
            <w:r w:rsidR="006214E9" w:rsidRPr="007B3A57">
              <w:rPr>
                <w:rFonts w:ascii="Times New Roman" w:hAnsi="Times New Roman" w:cs="Times New Roman"/>
              </w:rPr>
              <w:t>曾存在</w:t>
            </w:r>
            <w:r w:rsidR="0080061F" w:rsidRPr="007B3A57">
              <w:rPr>
                <w:rFonts w:ascii="Times New Roman" w:hAnsi="Times New Roman" w:cs="Times New Roman"/>
              </w:rPr>
              <w:t>的出版品檢查或</w:t>
            </w:r>
            <w:r w:rsidRPr="007B3A57">
              <w:rPr>
                <w:rFonts w:ascii="Times New Roman" w:hAnsi="Times New Roman" w:cs="Times New Roman"/>
              </w:rPr>
              <w:t>電影檢查制度，即為事前管制之典型</w:t>
            </w:r>
            <w:r w:rsidR="006214E9" w:rsidRPr="007B3A57">
              <w:rPr>
                <w:rFonts w:ascii="Times New Roman" w:hAnsi="Times New Roman" w:cs="Times New Roman"/>
              </w:rPr>
              <w:t>案例</w:t>
            </w:r>
            <w:r w:rsidRPr="007B3A57">
              <w:rPr>
                <w:rFonts w:ascii="Times New Roman" w:hAnsi="Times New Roman" w:cs="Times New Roman"/>
              </w:rPr>
              <w:t>。</w:t>
            </w:r>
          </w:p>
          <w:p w14:paraId="049E8C11" w14:textId="5230866D" w:rsidR="001D7722" w:rsidRPr="007B3A57" w:rsidRDefault="001D7722" w:rsidP="0088468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為何事前管制為嚴重之事？</w:t>
            </w:r>
          </w:p>
          <w:p w14:paraId="5CE148A2" w14:textId="329AE7E8" w:rsidR="001D7722" w:rsidRPr="007B3A57" w:rsidRDefault="00CC2645" w:rsidP="00CC2645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涉及審查者資格問題，</w:t>
            </w:r>
            <w:r w:rsidR="006214E9" w:rsidRPr="007B3A57">
              <w:rPr>
                <w:rFonts w:ascii="Times New Roman" w:hAnsi="Times New Roman" w:cs="Times New Roman"/>
              </w:rPr>
              <w:t>如何產生審查者？為何其見解可以高過一般人？為何要接受因事前審查而必然存在的</w:t>
            </w:r>
            <w:r w:rsidR="00884682" w:rsidRPr="007B3A57">
              <w:rPr>
                <w:rFonts w:ascii="Times New Roman" w:hAnsi="Times New Roman" w:cs="Times New Roman"/>
              </w:rPr>
              <w:t>人與人之間的</w:t>
            </w:r>
            <w:r w:rsidRPr="007B3A57">
              <w:rPr>
                <w:rFonts w:ascii="Times New Roman" w:hAnsi="Times New Roman" w:cs="Times New Roman"/>
              </w:rPr>
              <w:t>不平等。</w:t>
            </w:r>
          </w:p>
          <w:p w14:paraId="51815562" w14:textId="77777777" w:rsidR="00CC2645" w:rsidRPr="007B3A57" w:rsidRDefault="00CC2645" w:rsidP="00CC2645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</w:rPr>
            </w:pPr>
            <w:proofErr w:type="gramStart"/>
            <w:r w:rsidRPr="007B3A57">
              <w:rPr>
                <w:rFonts w:ascii="Times New Roman" w:hAnsi="Times New Roman" w:cs="Times New Roman"/>
              </w:rPr>
              <w:t>課責問題</w:t>
            </w:r>
            <w:proofErr w:type="gramEnd"/>
            <w:r w:rsidRPr="007B3A57">
              <w:rPr>
                <w:rFonts w:ascii="Times New Roman" w:hAnsi="Times New Roman" w:cs="Times New Roman"/>
              </w:rPr>
              <w:t>：誰來監督審查者？</w:t>
            </w:r>
          </w:p>
          <w:p w14:paraId="4028067A" w14:textId="7AF5A446" w:rsidR="00ED0C4D" w:rsidRPr="007B3A57" w:rsidRDefault="00ED0C4D" w:rsidP="00ED0C4D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案例思考：政府能否對「廣告」進行事前審查？</w:t>
            </w:r>
            <w:r w:rsidR="00E109EF" w:rsidRPr="007B3A57">
              <w:rPr>
                <w:rFonts w:ascii="Times New Roman" w:hAnsi="Times New Roman" w:cs="Times New Roman"/>
              </w:rPr>
              <w:t>（</w:t>
            </w:r>
            <w:r w:rsidR="00884682" w:rsidRPr="007B3A57">
              <w:rPr>
                <w:rFonts w:ascii="Times New Roman" w:hAnsi="Times New Roman" w:cs="Times New Roman"/>
              </w:rPr>
              <w:t>參照</w:t>
            </w:r>
            <w:r w:rsidR="00E109EF" w:rsidRPr="007B3A57">
              <w:rPr>
                <w:rFonts w:ascii="Times New Roman" w:hAnsi="Times New Roman" w:cs="Times New Roman"/>
              </w:rPr>
              <w:t>大法官解釋第</w:t>
            </w:r>
            <w:r w:rsidR="00884682" w:rsidRPr="007B3A57">
              <w:rPr>
                <w:rFonts w:ascii="Times New Roman" w:hAnsi="Times New Roman" w:cs="Times New Roman"/>
              </w:rPr>
              <w:t>414</w:t>
            </w:r>
            <w:r w:rsidR="00884682" w:rsidRPr="007B3A57">
              <w:rPr>
                <w:rFonts w:ascii="Times New Roman" w:hAnsi="Times New Roman" w:cs="Times New Roman"/>
              </w:rPr>
              <w:t>號</w:t>
            </w:r>
            <w:r w:rsidR="00E109EF" w:rsidRPr="007B3A57">
              <w:rPr>
                <w:rFonts w:ascii="Times New Roman" w:hAnsi="Times New Roman" w:cs="Times New Roman"/>
              </w:rPr>
              <w:t>）</w:t>
            </w:r>
          </w:p>
          <w:p w14:paraId="2E6351B6" w14:textId="3B1ECB18" w:rsidR="002E70C0" w:rsidRPr="007B3A57" w:rsidRDefault="002E70C0" w:rsidP="002E70C0">
            <w:pPr>
              <w:ind w:leftChars="200" w:left="48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  <w:bdr w:val="single" w:sz="4" w:space="0" w:color="auto"/>
              </w:rPr>
              <w:t>思考點</w:t>
            </w:r>
          </w:p>
          <w:p w14:paraId="1352AC87" w14:textId="5C67DDE8" w:rsidR="00ED0C4D" w:rsidRPr="007B3A57" w:rsidRDefault="002E70C0" w:rsidP="00ED0C4D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判別</w:t>
            </w:r>
            <w:r w:rsidR="00ED0C4D" w:rsidRPr="007B3A57">
              <w:rPr>
                <w:rFonts w:ascii="Times New Roman" w:hAnsi="Times New Roman" w:cs="Times New Roman"/>
              </w:rPr>
              <w:t>廣告為何種價值</w:t>
            </w:r>
            <w:r w:rsidRPr="007B3A57">
              <w:rPr>
                <w:rFonts w:ascii="Times New Roman" w:hAnsi="Times New Roman" w:cs="Times New Roman"/>
              </w:rPr>
              <w:t>的</w:t>
            </w:r>
            <w:r w:rsidR="00ED0C4D" w:rsidRPr="007B3A57">
              <w:rPr>
                <w:rFonts w:ascii="Times New Roman" w:hAnsi="Times New Roman" w:cs="Times New Roman"/>
              </w:rPr>
              <w:t>言論？</w:t>
            </w:r>
          </w:p>
          <w:p w14:paraId="342DA942" w14:textId="29E2A083" w:rsidR="00ED0C4D" w:rsidRPr="007B3A57" w:rsidRDefault="00884682" w:rsidP="00884682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</w:rPr>
            </w:pPr>
            <w:r w:rsidRPr="007B3A57">
              <w:rPr>
                <w:rFonts w:ascii="Times New Roman" w:hAnsi="Times New Roman" w:cs="Times New Roman"/>
              </w:rPr>
              <w:t>事前管制的理由</w:t>
            </w:r>
            <w:r w:rsidR="00E109EF" w:rsidRPr="007B3A57">
              <w:rPr>
                <w:rFonts w:ascii="Times New Roman" w:hAnsi="Times New Roman" w:cs="Times New Roman"/>
              </w:rPr>
              <w:t>為何？</w:t>
            </w:r>
            <w:r w:rsidRPr="007B3A57">
              <w:rPr>
                <w:rFonts w:ascii="Times New Roman" w:hAnsi="Times New Roman" w:cs="Times New Roman"/>
              </w:rPr>
              <w:t>是否堅實？</w:t>
            </w:r>
          </w:p>
        </w:tc>
      </w:tr>
    </w:tbl>
    <w:p w14:paraId="4820FAB4" w14:textId="77777777" w:rsidR="00DE2F2A" w:rsidRPr="007B3A57" w:rsidRDefault="00DE2F2A" w:rsidP="00DE2F2A">
      <w:pPr>
        <w:pStyle w:val="a3"/>
        <w:ind w:leftChars="0" w:left="1440"/>
        <w:rPr>
          <w:rFonts w:ascii="Times New Roman" w:hAnsi="Times New Roman" w:cs="Times New Roman"/>
        </w:rPr>
      </w:pPr>
    </w:p>
    <w:p w14:paraId="48D1D1BC" w14:textId="77777777" w:rsidR="006317B6" w:rsidRPr="007B3A57" w:rsidRDefault="006317B6" w:rsidP="006317B6">
      <w:pPr>
        <w:rPr>
          <w:rFonts w:ascii="Times New Roman" w:hAnsi="Times New Roman" w:cs="Times New Roman"/>
          <w:b/>
          <w:u w:val="single"/>
        </w:rPr>
      </w:pPr>
      <w:r w:rsidRPr="007B3A57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</w:t>
      </w:r>
    </w:p>
    <w:p w14:paraId="3467E55A" w14:textId="77777777" w:rsidR="006317B6" w:rsidRPr="007B3A57" w:rsidRDefault="0095370E" w:rsidP="0095370E">
      <w:pPr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指定閱讀：</w:t>
      </w:r>
    </w:p>
    <w:p w14:paraId="10D66F30" w14:textId="77777777" w:rsidR="006317B6" w:rsidRPr="007B3A57" w:rsidRDefault="0095370E" w:rsidP="006317B6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釋字第</w:t>
      </w:r>
      <w:r w:rsidRPr="007B3A57">
        <w:rPr>
          <w:rFonts w:ascii="Times New Roman" w:hAnsi="Times New Roman" w:cs="Times New Roman"/>
        </w:rPr>
        <w:t>509</w:t>
      </w:r>
      <w:r w:rsidRPr="007B3A57">
        <w:rPr>
          <w:rFonts w:ascii="Times New Roman" w:hAnsi="Times New Roman" w:cs="Times New Roman"/>
        </w:rPr>
        <w:t>號解釋</w:t>
      </w:r>
      <w:r w:rsidR="006317B6" w:rsidRPr="007B3A57">
        <w:rPr>
          <w:rFonts w:ascii="Times New Roman" w:hAnsi="Times New Roman" w:cs="Times New Roman"/>
        </w:rPr>
        <w:t>，</w:t>
      </w:r>
      <w:hyperlink r:id="rId19" w:history="1">
        <w:r w:rsidR="006317B6" w:rsidRPr="007B3A57">
          <w:rPr>
            <w:rStyle w:val="a4"/>
            <w:rFonts w:ascii="Times New Roman" w:hAnsi="Times New Roman" w:cs="Times New Roman"/>
          </w:rPr>
          <w:t>http://www.judicial.gov.tw/constitutionalcourt/p03_01.asp?expno=509</w:t>
        </w:r>
      </w:hyperlink>
      <w:r w:rsidR="006317B6" w:rsidRPr="007B3A57">
        <w:rPr>
          <w:rFonts w:ascii="Times New Roman" w:hAnsi="Times New Roman" w:cs="Times New Roman"/>
        </w:rPr>
        <w:t>。</w:t>
      </w:r>
    </w:p>
    <w:p w14:paraId="0D742E7A" w14:textId="77777777" w:rsidR="0095370E" w:rsidRPr="007B3A57" w:rsidRDefault="00632D3F" w:rsidP="00F3291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釋字第</w:t>
      </w:r>
      <w:r w:rsidRPr="007B3A57">
        <w:rPr>
          <w:rFonts w:ascii="Times New Roman" w:hAnsi="Times New Roman" w:cs="Times New Roman"/>
        </w:rPr>
        <w:t>567</w:t>
      </w:r>
      <w:r w:rsidRPr="007B3A57">
        <w:rPr>
          <w:rFonts w:ascii="Times New Roman" w:hAnsi="Times New Roman" w:cs="Times New Roman"/>
        </w:rPr>
        <w:t>號解釋</w:t>
      </w:r>
      <w:r w:rsidR="006317B6" w:rsidRPr="007B3A57">
        <w:rPr>
          <w:rFonts w:ascii="Times New Roman" w:hAnsi="Times New Roman" w:cs="Times New Roman"/>
        </w:rPr>
        <w:t>，</w:t>
      </w:r>
      <w:hyperlink r:id="rId20" w:history="1">
        <w:r w:rsidR="00F3291F" w:rsidRPr="007B3A57">
          <w:rPr>
            <w:rStyle w:val="a4"/>
            <w:rFonts w:ascii="Times New Roman" w:hAnsi="Times New Roman" w:cs="Times New Roman"/>
          </w:rPr>
          <w:t>http://www.judicial.gov.tw/constitutionalcourt/p03_01.asp?expno=567</w:t>
        </w:r>
      </w:hyperlink>
      <w:r w:rsidR="00F3291F" w:rsidRPr="007B3A57">
        <w:rPr>
          <w:rFonts w:ascii="Times New Roman" w:hAnsi="Times New Roman" w:cs="Times New Roman"/>
        </w:rPr>
        <w:t>。</w:t>
      </w:r>
    </w:p>
    <w:p w14:paraId="3D27ADFA" w14:textId="77777777" w:rsidR="006317B6" w:rsidRPr="007B3A57" w:rsidRDefault="00632D3F" w:rsidP="0095370E">
      <w:pPr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延伸閱讀：</w:t>
      </w:r>
    </w:p>
    <w:p w14:paraId="364A1761" w14:textId="77777777" w:rsidR="006317B6" w:rsidRPr="007B3A57" w:rsidRDefault="00632D3F" w:rsidP="00F3291F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7B3A57">
        <w:rPr>
          <w:rFonts w:ascii="Times New Roman" w:hAnsi="Times New Roman" w:cs="Times New Roman"/>
        </w:rPr>
        <w:t>釋字第</w:t>
      </w:r>
      <w:r w:rsidR="00942781" w:rsidRPr="007B3A57">
        <w:rPr>
          <w:rFonts w:ascii="Times New Roman" w:hAnsi="Times New Roman" w:cs="Times New Roman"/>
        </w:rPr>
        <w:t>40</w:t>
      </w:r>
      <w:r w:rsidRPr="007B3A57">
        <w:rPr>
          <w:rFonts w:ascii="Times New Roman" w:hAnsi="Times New Roman" w:cs="Times New Roman"/>
        </w:rPr>
        <w:t>7</w:t>
      </w:r>
      <w:r w:rsidRPr="007B3A57">
        <w:rPr>
          <w:rFonts w:ascii="Times New Roman" w:hAnsi="Times New Roman" w:cs="Times New Roman"/>
        </w:rPr>
        <w:t>號解釋，</w:t>
      </w:r>
      <w:hyperlink r:id="rId21" w:history="1">
        <w:r w:rsidR="00F3291F" w:rsidRPr="007B3A57">
          <w:rPr>
            <w:rStyle w:val="a4"/>
            <w:rFonts w:ascii="Times New Roman" w:hAnsi="Times New Roman" w:cs="Times New Roman"/>
          </w:rPr>
          <w:t>http://www.judicial.gov.tw/constitutionalcourt/p03_01.asp?expno=407</w:t>
        </w:r>
      </w:hyperlink>
      <w:r w:rsidR="00F3291F" w:rsidRPr="007B3A57">
        <w:rPr>
          <w:rFonts w:ascii="Times New Roman" w:hAnsi="Times New Roman" w:cs="Times New Roman"/>
        </w:rPr>
        <w:t>。</w:t>
      </w:r>
    </w:p>
    <w:p w14:paraId="536FA99F" w14:textId="77777777" w:rsidR="006317B6" w:rsidRPr="007B3A57" w:rsidRDefault="00632D3F" w:rsidP="00F3291F">
      <w:pPr>
        <w:pStyle w:val="a3"/>
        <w:numPr>
          <w:ilvl w:val="0"/>
          <w:numId w:val="7"/>
        </w:numPr>
        <w:ind w:leftChars="0"/>
        <w:rPr>
          <w:rFonts w:ascii="Times New Roman" w:eastAsia="Adobe 明體 Std L" w:hAnsi="Times New Roman" w:cs="Times New Roman"/>
        </w:rPr>
      </w:pPr>
      <w:r w:rsidRPr="007B3A57">
        <w:rPr>
          <w:rFonts w:ascii="Times New Roman" w:hAnsi="Times New Roman" w:cs="Times New Roman"/>
        </w:rPr>
        <w:t>釋字第</w:t>
      </w:r>
      <w:r w:rsidR="00942781" w:rsidRPr="007B3A57">
        <w:rPr>
          <w:rFonts w:ascii="Times New Roman" w:hAnsi="Times New Roman" w:cs="Times New Roman"/>
        </w:rPr>
        <w:t>577</w:t>
      </w:r>
      <w:r w:rsidR="006317B6" w:rsidRPr="007B3A57">
        <w:rPr>
          <w:rFonts w:ascii="Times New Roman" w:hAnsi="Times New Roman" w:cs="Times New Roman"/>
        </w:rPr>
        <w:t>號解釋，</w:t>
      </w:r>
      <w:hyperlink r:id="rId22" w:history="1">
        <w:r w:rsidR="00F3291F" w:rsidRPr="007B3A57">
          <w:rPr>
            <w:rStyle w:val="a4"/>
            <w:rFonts w:ascii="Times New Roman" w:hAnsi="Times New Roman" w:cs="Times New Roman"/>
          </w:rPr>
          <w:t>http://www.judicial.gov.tw/constitutionalcourt/p03_01.asp?expno=577</w:t>
        </w:r>
      </w:hyperlink>
      <w:r w:rsidR="00F3291F" w:rsidRPr="007B3A57">
        <w:rPr>
          <w:rFonts w:ascii="Times New Roman" w:hAnsi="Times New Roman" w:cs="Times New Roman"/>
        </w:rPr>
        <w:t>。</w:t>
      </w:r>
    </w:p>
    <w:p w14:paraId="7DCB1A3D" w14:textId="77777777" w:rsidR="00632D3F" w:rsidRPr="007B3A57" w:rsidRDefault="00632D3F" w:rsidP="00F3291F">
      <w:pPr>
        <w:pStyle w:val="a3"/>
        <w:numPr>
          <w:ilvl w:val="0"/>
          <w:numId w:val="7"/>
        </w:numPr>
        <w:ind w:leftChars="0"/>
        <w:rPr>
          <w:rFonts w:ascii="Times New Roman" w:eastAsia="Adobe 明體 Std L" w:hAnsi="Times New Roman" w:cs="Times New Roman"/>
        </w:rPr>
      </w:pPr>
      <w:r w:rsidRPr="007B3A57">
        <w:rPr>
          <w:rFonts w:ascii="Times New Roman" w:hAnsi="Times New Roman" w:cs="Times New Roman"/>
        </w:rPr>
        <w:t>釋字第</w:t>
      </w:r>
      <w:r w:rsidRPr="007B3A57">
        <w:rPr>
          <w:rFonts w:ascii="Times New Roman" w:hAnsi="Times New Roman" w:cs="Times New Roman"/>
        </w:rPr>
        <w:t>656</w:t>
      </w:r>
      <w:r w:rsidRPr="007B3A57">
        <w:rPr>
          <w:rFonts w:ascii="Times New Roman" w:hAnsi="Times New Roman" w:cs="Times New Roman"/>
        </w:rPr>
        <w:t>號解釋</w:t>
      </w:r>
      <w:r w:rsidR="006317B6" w:rsidRPr="007B3A57">
        <w:rPr>
          <w:rFonts w:ascii="Times New Roman" w:hAnsi="Times New Roman" w:cs="Times New Roman"/>
        </w:rPr>
        <w:t>，</w:t>
      </w:r>
      <w:hyperlink r:id="rId23" w:history="1">
        <w:r w:rsidR="00F3291F" w:rsidRPr="007B3A57">
          <w:rPr>
            <w:rStyle w:val="a4"/>
            <w:rFonts w:ascii="Times New Roman" w:hAnsi="Times New Roman" w:cs="Times New Roman"/>
          </w:rPr>
          <w:t>http://www.judicial.gov.tw/constitutionalcourt/p03_01.asp?expno=656</w:t>
        </w:r>
      </w:hyperlink>
      <w:r w:rsidR="00F3291F" w:rsidRPr="007B3A57">
        <w:rPr>
          <w:rFonts w:ascii="Times New Roman" w:hAnsi="Times New Roman" w:cs="Times New Roman"/>
        </w:rPr>
        <w:t>。</w:t>
      </w:r>
    </w:p>
    <w:p w14:paraId="067CF87A" w14:textId="77777777" w:rsidR="008D6A3D" w:rsidRPr="007B3A57" w:rsidRDefault="008D6A3D" w:rsidP="008D6A3D">
      <w:pPr>
        <w:rPr>
          <w:rFonts w:ascii="Times New Roman" w:eastAsia="Adobe 明體 Std L" w:hAnsi="Times New Roman" w:cs="Times New Roman"/>
        </w:rPr>
      </w:pPr>
    </w:p>
    <w:p w14:paraId="5EC748E0" w14:textId="77777777" w:rsidR="008D6A3D" w:rsidRPr="007B3A57" w:rsidRDefault="008D6A3D" w:rsidP="008D6A3D">
      <w:pPr>
        <w:rPr>
          <w:rFonts w:ascii="Times New Roman" w:eastAsia="Adobe 明體 Std L" w:hAnsi="Times New Roman" w:cs="Times New Roman"/>
        </w:rPr>
      </w:pPr>
    </w:p>
    <w:p w14:paraId="1E4397B6" w14:textId="6D640FBE" w:rsidR="008D6A3D" w:rsidRPr="007B3A57" w:rsidRDefault="008D6A3D" w:rsidP="008D6A3D">
      <w:pPr>
        <w:rPr>
          <w:rFonts w:ascii="Times New Roman" w:eastAsia="Adobe 明體 Std L" w:hAnsi="Times New Roman" w:cs="Times New Roman"/>
        </w:rPr>
      </w:pPr>
    </w:p>
    <w:p w14:paraId="32BCDF7D" w14:textId="77777777" w:rsidR="008D6A3D" w:rsidRPr="007B3A57" w:rsidRDefault="008D6A3D">
      <w:pPr>
        <w:widowControl/>
        <w:rPr>
          <w:rFonts w:ascii="Times New Roman" w:eastAsia="Adobe 明體 Std L" w:hAnsi="Times New Roman" w:cs="Times New Roman"/>
        </w:rPr>
      </w:pPr>
      <w:r w:rsidRPr="007B3A57">
        <w:rPr>
          <w:rFonts w:ascii="Times New Roman" w:eastAsia="Adobe 明體 Std L" w:hAnsi="Times New Roman" w:cs="Times New Roman"/>
        </w:rPr>
        <w:br w:type="page"/>
      </w:r>
    </w:p>
    <w:p w14:paraId="64C69C65" w14:textId="77777777" w:rsidR="008D6A3D" w:rsidRPr="007B3A57" w:rsidRDefault="008D6A3D" w:rsidP="008D6A3D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7B3A57">
        <w:rPr>
          <w:rFonts w:ascii="Times New Roman" w:eastAsia="標楷體" w:hAnsi="Times New Roman" w:cs="Times New Roman"/>
          <w:sz w:val="72"/>
          <w:szCs w:val="72"/>
          <w:lang w:eastAsia="ja-JP"/>
        </w:rPr>
        <w:lastRenderedPageBreak/>
        <w:t>版權聲明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2596"/>
      </w:tblGrid>
      <w:tr w:rsidR="00073C56" w:rsidRPr="007B3A57" w14:paraId="697EC797" w14:textId="77777777" w:rsidTr="00073C5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26AC00F" w14:textId="77777777" w:rsidR="008D6A3D" w:rsidRPr="007B3A57" w:rsidRDefault="008D6A3D" w:rsidP="007B3A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頁碼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56D278" w14:textId="77777777" w:rsidR="008D6A3D" w:rsidRPr="007B3A57" w:rsidRDefault="008D6A3D" w:rsidP="007B3A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作品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4277E" w14:textId="77777777" w:rsidR="00D97A59" w:rsidRPr="007B3A57" w:rsidRDefault="008D6A3D" w:rsidP="007B3A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版權</w:t>
            </w:r>
          </w:p>
          <w:p w14:paraId="51D52953" w14:textId="54BBE38A" w:rsidR="008D6A3D" w:rsidRPr="007B3A57" w:rsidRDefault="008D6A3D" w:rsidP="007B3A5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標示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99F25EC" w14:textId="77777777" w:rsidR="008D6A3D" w:rsidRPr="007B3A57" w:rsidRDefault="008D6A3D" w:rsidP="007B3A57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作者</w:t>
            </w: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/</w:t>
            </w:r>
            <w:r w:rsidRPr="007B3A57">
              <w:rPr>
                <w:rFonts w:ascii="Times New Roman" w:eastAsia="標楷體" w:hAnsi="Times New Roman" w:cs="Times New Roman"/>
                <w:b/>
                <w:lang w:eastAsia="ja-JP"/>
              </w:rPr>
              <w:t>出處</w:t>
            </w:r>
          </w:p>
        </w:tc>
      </w:tr>
      <w:tr w:rsidR="00073C56" w:rsidRPr="007B3A57" w14:paraId="0E5503BC" w14:textId="77777777" w:rsidTr="00073C5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BBEB9C" w14:textId="100D902F" w:rsidR="008D6A3D" w:rsidRPr="007B3A57" w:rsidRDefault="008D6A3D" w:rsidP="008006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3A57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4A8DE6" w14:textId="16B099EB" w:rsidR="008D6A3D" w:rsidRPr="00EE72CA" w:rsidRDefault="008D6A3D" w:rsidP="00EE72C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「人民有言論、講學、著作及出版之自由。」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27C4E" w14:textId="77777777" w:rsidR="008D6A3D" w:rsidRPr="007B3A57" w:rsidRDefault="008D6A3D" w:rsidP="008006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67351B0" wp14:editId="31118728">
                  <wp:extent cx="445135" cy="389890"/>
                  <wp:effectExtent l="0" t="0" r="0" b="0"/>
                  <wp:docPr id="7" name="圖片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5D7AEAE" w14:textId="379AF044" w:rsidR="008D6A3D" w:rsidRPr="00EE72CA" w:rsidRDefault="008D6A3D" w:rsidP="00EE72CA">
            <w:pPr>
              <w:rPr>
                <w:rFonts w:ascii="Times New Roman" w:eastAsia="標楷體" w:hAnsi="Times New Roman" w:cs="Times New Roman"/>
              </w:rPr>
            </w:pPr>
            <w:r w:rsidRPr="00EE72CA">
              <w:rPr>
                <w:rFonts w:ascii="Times New Roman" w:eastAsia="標楷體" w:hAnsi="Times New Roman" w:cs="Times New Roman"/>
              </w:rPr>
              <w:t>中華民國憲法第</w:t>
            </w:r>
            <w:r w:rsidRPr="00EE72CA">
              <w:rPr>
                <w:rFonts w:ascii="Times New Roman" w:eastAsia="標楷體" w:hAnsi="Times New Roman" w:cs="Times New Roman"/>
              </w:rPr>
              <w:t>11</w:t>
            </w:r>
            <w:r w:rsidRPr="00EE72CA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073C56" w:rsidRPr="007B3A57" w14:paraId="7F0E1F09" w14:textId="77777777" w:rsidTr="00073C5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E7CF173" w14:textId="4125C7FA" w:rsidR="008D6A3D" w:rsidRPr="007B3A57" w:rsidRDefault="00D97A59" w:rsidP="008006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  <w:r w:rsidRPr="007B3A57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47C4C9" w14:textId="0CCDA3E0" w:rsidR="008D6A3D" w:rsidRPr="00EE72CA" w:rsidRDefault="00D97A59" w:rsidP="00EE72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「對於你講的每句話我完全</w:t>
            </w:r>
            <w:proofErr w:type="gramStart"/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不</w:t>
            </w:r>
            <w:proofErr w:type="gramEnd"/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認同，但我誓死捍衛你有說話的權利」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51E2C" w14:textId="4814860A" w:rsidR="008D6A3D" w:rsidRPr="007B3A57" w:rsidRDefault="00073C56" w:rsidP="0080061F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drawing>
                <wp:inline distT="0" distB="0" distL="0" distR="0" wp14:anchorId="56671A47" wp14:editId="4C8E926F">
                  <wp:extent cx="475488" cy="167097"/>
                  <wp:effectExtent l="0" t="0" r="1270" b="4445"/>
                  <wp:docPr id="11" name="圖片 11" descr="D:\C. 說明文件\創用CC圖示\by-sa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. 說明文件\創用CC圖示\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2" cy="16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5D0B9EA" w14:textId="04D44DD8" w:rsidR="00073C56" w:rsidRPr="00EE72CA" w:rsidRDefault="00221BCE" w:rsidP="00EE72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Evelyn Beatrice Hall</w:t>
            </w: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於</w:t>
            </w: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1906</w:t>
            </w: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年出版的傳記《伏爾泰的朋友們》</w:t>
            </w:r>
            <w:r w:rsidR="00073C56" w:rsidRPr="00EE72CA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073C56" w:rsidRPr="00EE72CA">
              <w:rPr>
                <w:rFonts w:ascii="Times New Roman" w:eastAsia="標楷體" w:hAnsi="Times New Roman" w:cs="Times New Roman"/>
                <w:color w:val="000000" w:themeColor="text1"/>
              </w:rPr>
              <w:t>引用自</w:t>
            </w:r>
            <w:r w:rsidR="00EE72CA">
              <w:rPr>
                <w:rFonts w:ascii="Times New Roman" w:eastAsia="標楷體" w:hAnsi="Times New Roman" w:cs="Times New Roman"/>
                <w:color w:val="000000" w:themeColor="text1"/>
              </w:rPr>
              <w:t>W</w:t>
            </w:r>
            <w:r w:rsidR="00EE72CA">
              <w:rPr>
                <w:rFonts w:ascii="Times New Roman" w:eastAsia="標楷體" w:hAnsi="Times New Roman" w:cs="Times New Roman" w:hint="eastAsia"/>
                <w:color w:val="000000" w:themeColor="text1"/>
              </w:rPr>
              <w:t>IKIPEDIA</w:t>
            </w:r>
            <w:r w:rsidR="00073C56" w:rsidRPr="00EE72C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62735EF1" w14:textId="377A1A4C" w:rsidR="008D6A3D" w:rsidRPr="00EE72CA" w:rsidRDefault="00073C56" w:rsidP="00EE72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hyperlink r:id="rId24" w:history="1">
              <w:r w:rsidRPr="00EE72CA">
                <w:rPr>
                  <w:rStyle w:val="a4"/>
                  <w:rFonts w:ascii="Times New Roman" w:hAnsi="Times New Roman" w:cs="Times New Roman"/>
                </w:rPr>
                <w:t>http://zh.wikipedia.org/zh-tw/%E4%BC%8F%E7%88%BE%E6%B3%B0</w:t>
              </w:r>
            </w:hyperlink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，瀏覽日期</w:t>
            </w: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 xml:space="preserve"> 2013.06.03</w:t>
            </w:r>
            <w:r w:rsidRPr="00EE72CA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073C56" w:rsidRPr="007B3A57" w14:paraId="14D1AA6A" w14:textId="77777777" w:rsidTr="00073C5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C99427" w14:textId="5F395E32" w:rsidR="008D6A3D" w:rsidRPr="007B3A57" w:rsidRDefault="00D97A59" w:rsidP="0080061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3A57">
              <w:rPr>
                <w:rFonts w:ascii="Times New Roman" w:eastAsia="標楷體" w:hAnsi="Times New Roman" w:cs="Times New Roman"/>
                <w:sz w:val="32"/>
                <w:szCs w:val="32"/>
              </w:rPr>
              <w:t>2-3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64D305" w14:textId="235FF02C" w:rsidR="008D6A3D" w:rsidRPr="00EE72CA" w:rsidRDefault="00D97A59" w:rsidP="00EE72CA">
            <w:pPr>
              <w:rPr>
                <w:rFonts w:ascii="Times New Roman" w:eastAsia="標楷體" w:hAnsi="Times New Roman" w:cs="Times New Roman"/>
              </w:rPr>
            </w:pPr>
            <w:r w:rsidRPr="00EE72CA">
              <w:rPr>
                <w:rFonts w:ascii="Times New Roman" w:eastAsia="標楷體" w:hAnsi="Times New Roman" w:cs="Times New Roman"/>
              </w:rPr>
              <w:t>「（</w:t>
            </w:r>
            <w:r w:rsidRPr="00EE72CA">
              <w:rPr>
                <w:rFonts w:ascii="Times New Roman" w:eastAsia="標楷體" w:hAnsi="Times New Roman" w:cs="Times New Roman"/>
                <w:color w:val="000000"/>
              </w:rPr>
              <w:t>國民大會代表之宣誓）旨在使宣誓人鄭重公開表示其恪遵憲法，盡忠職務，代表全國國民依法行使職權之決心與誠意，</w:t>
            </w:r>
            <w:proofErr w:type="gramStart"/>
            <w:r w:rsidRPr="00EE72CA">
              <w:rPr>
                <w:rFonts w:ascii="Times New Roman" w:eastAsia="標楷體" w:hAnsi="Times New Roman" w:cs="Times New Roman"/>
                <w:color w:val="000000"/>
              </w:rPr>
              <w:t>俾</w:t>
            </w:r>
            <w:proofErr w:type="gramEnd"/>
            <w:r w:rsidRPr="00EE72CA">
              <w:rPr>
                <w:rFonts w:ascii="Times New Roman" w:eastAsia="標楷體" w:hAnsi="Times New Roman" w:cs="Times New Roman"/>
                <w:color w:val="000000"/>
              </w:rPr>
              <w:t>昭信守。此項宣誓，依本院釋字第一九九號解釋，係屬行使職權之宣誓。上述宣誓係公法上之要式行為，除誓詞由前開法條明文規定外，其程序及方式，應依宣誓條例第三條至第七條之規定。國民大會代表未為宣誓，違反宣誓之義務，固不得行使職權，如有明確之事證足認其於宣誓時，故意不依法定方式及法定誓詞為之者，不能認已</w:t>
            </w:r>
            <w:proofErr w:type="gramStart"/>
            <w:r w:rsidRPr="00EE72CA">
              <w:rPr>
                <w:rFonts w:ascii="Times New Roman" w:eastAsia="標楷體" w:hAnsi="Times New Roman" w:cs="Times New Roman"/>
                <w:color w:val="000000"/>
              </w:rPr>
              <w:t>踐行</w:t>
            </w:r>
            <w:proofErr w:type="gramEnd"/>
            <w:r w:rsidRPr="00EE72CA">
              <w:rPr>
                <w:rFonts w:ascii="Times New Roman" w:eastAsia="標楷體" w:hAnsi="Times New Roman" w:cs="Times New Roman"/>
                <w:color w:val="000000"/>
              </w:rPr>
              <w:t>該項法定要式行為，與未宣誓同，自亦不得行使職權。</w:t>
            </w:r>
            <w:r w:rsidRPr="00EE72CA">
              <w:rPr>
                <w:rFonts w:ascii="Times New Roman" w:eastAsia="標楷體" w:hAnsi="Times New Roman" w:cs="Times New Roman"/>
              </w:rPr>
              <w:t>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00B75" w14:textId="77777777" w:rsidR="008D6A3D" w:rsidRPr="007B3A57" w:rsidRDefault="008D6A3D" w:rsidP="008006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009BFEB" wp14:editId="41148272">
                  <wp:extent cx="445135" cy="389890"/>
                  <wp:effectExtent l="0" t="0" r="0" b="0"/>
                  <wp:docPr id="9" name="圖片 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1C45A86" w14:textId="78788E18" w:rsidR="008D6A3D" w:rsidRPr="00EE72CA" w:rsidRDefault="008D6A3D" w:rsidP="00EE72CA">
            <w:pPr>
              <w:rPr>
                <w:rFonts w:ascii="Times New Roman" w:eastAsia="標楷體" w:hAnsi="Times New Roman" w:cs="Times New Roman"/>
              </w:rPr>
            </w:pPr>
            <w:r w:rsidRPr="00EE72CA">
              <w:rPr>
                <w:rFonts w:ascii="Times New Roman" w:eastAsia="標楷體" w:hAnsi="Times New Roman" w:cs="Times New Roman"/>
              </w:rPr>
              <w:t>中華民國憲法釋字第</w:t>
            </w:r>
            <w:r w:rsidR="00D97A59" w:rsidRPr="00EE72CA">
              <w:rPr>
                <w:rFonts w:ascii="Times New Roman" w:eastAsia="標楷體" w:hAnsi="Times New Roman" w:cs="Times New Roman"/>
              </w:rPr>
              <w:t>254</w:t>
            </w:r>
            <w:r w:rsidRPr="00EE72CA">
              <w:rPr>
                <w:rFonts w:ascii="Times New Roman" w:eastAsia="標楷體" w:hAnsi="Times New Roman" w:cs="Times New Roman"/>
              </w:rPr>
              <w:t>號解釋文，屬公共領域之著作。</w:t>
            </w:r>
          </w:p>
        </w:tc>
      </w:tr>
      <w:tr w:rsidR="00073C56" w:rsidRPr="007B3A57" w14:paraId="50109327" w14:textId="77777777" w:rsidTr="00073C5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A834EFE" w14:textId="25A6D4FB" w:rsidR="008D6A3D" w:rsidRPr="007B3A57" w:rsidRDefault="00D97A59" w:rsidP="008006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3A57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7A3FBD" w14:textId="661A9A85" w:rsidR="008D6A3D" w:rsidRPr="00EE72CA" w:rsidRDefault="00D97A59" w:rsidP="00EE72C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72CA">
              <w:rPr>
                <w:rFonts w:ascii="Times New Roman" w:eastAsia="標楷體" w:hAnsi="Times New Roman" w:cs="Times New Roman"/>
              </w:rPr>
              <w:t>「</w:t>
            </w:r>
            <w:r w:rsidRPr="00EE72CA">
              <w:rPr>
                <w:rFonts w:ascii="Times New Roman" w:eastAsia="標楷體" w:hAnsi="Times New Roman" w:cs="Times New Roman"/>
              </w:rPr>
              <w:t>…</w:t>
            </w:r>
            <w:r w:rsidRPr="00EE72CA">
              <w:rPr>
                <w:rFonts w:ascii="Times New Roman" w:eastAsia="標楷體" w:hAnsi="Times New Roman" w:cs="Times New Roman"/>
              </w:rPr>
              <w:t>所謂回復名譽之適當處分，如屬以判決命加害人公開道歉，而未涉及加害人自我</w:t>
            </w:r>
            <w:proofErr w:type="gramStart"/>
            <w:r w:rsidRPr="00EE72CA">
              <w:rPr>
                <w:rFonts w:ascii="Times New Roman" w:eastAsia="標楷體" w:hAnsi="Times New Roman" w:cs="Times New Roman"/>
              </w:rPr>
              <w:t>羞辱等損及</w:t>
            </w:r>
            <w:proofErr w:type="gramEnd"/>
            <w:r w:rsidRPr="00EE72CA">
              <w:rPr>
                <w:rFonts w:ascii="Times New Roman" w:eastAsia="標楷體" w:hAnsi="Times New Roman" w:cs="Times New Roman"/>
              </w:rPr>
              <w:t>人性尊嚴之情事者，即未違背憲法第二十三條比例原則，而</w:t>
            </w:r>
            <w:proofErr w:type="gramStart"/>
            <w:r w:rsidRPr="00EE72CA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EE72CA">
              <w:rPr>
                <w:rFonts w:ascii="Times New Roman" w:eastAsia="標楷體" w:hAnsi="Times New Roman" w:cs="Times New Roman"/>
              </w:rPr>
              <w:t>牴觸憲法對不表意自由之保障。」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C0ADB" w14:textId="77777777" w:rsidR="008D6A3D" w:rsidRPr="007B3A57" w:rsidRDefault="008D6A3D" w:rsidP="008006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ADD34CB" wp14:editId="233F205F">
                  <wp:extent cx="445135" cy="389890"/>
                  <wp:effectExtent l="0" t="0" r="0" b="0"/>
                  <wp:docPr id="13" name="圖片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0693B31" w14:textId="077ABB56" w:rsidR="008D6A3D" w:rsidRPr="00EE72CA" w:rsidRDefault="008D6A3D" w:rsidP="00EE72CA">
            <w:pPr>
              <w:rPr>
                <w:rFonts w:ascii="Times New Roman" w:eastAsia="標楷體" w:hAnsi="Times New Roman" w:cs="Times New Roman"/>
              </w:rPr>
            </w:pPr>
            <w:r w:rsidRPr="00EE72CA">
              <w:rPr>
                <w:rFonts w:ascii="Times New Roman" w:eastAsia="標楷體" w:hAnsi="Times New Roman" w:cs="Times New Roman"/>
              </w:rPr>
              <w:t>中華民國憲法</w:t>
            </w:r>
            <w:r w:rsidR="00D97A59" w:rsidRPr="00EE72CA">
              <w:rPr>
                <w:rFonts w:ascii="Times New Roman" w:eastAsia="標楷體" w:hAnsi="Times New Roman" w:cs="Times New Roman"/>
              </w:rPr>
              <w:t>釋字第</w:t>
            </w:r>
            <w:r w:rsidR="00D97A59" w:rsidRPr="00EE72CA">
              <w:rPr>
                <w:rFonts w:ascii="Times New Roman" w:eastAsia="標楷體" w:hAnsi="Times New Roman" w:cs="Times New Roman"/>
              </w:rPr>
              <w:t>656</w:t>
            </w:r>
            <w:r w:rsidR="00D97A59" w:rsidRPr="00EE72CA">
              <w:rPr>
                <w:rFonts w:ascii="Times New Roman" w:eastAsia="標楷體" w:hAnsi="Times New Roman" w:cs="Times New Roman"/>
              </w:rPr>
              <w:t>號解釋文</w:t>
            </w:r>
            <w:r w:rsidRPr="00EE72CA">
              <w:rPr>
                <w:rFonts w:ascii="Times New Roman" w:eastAsia="標楷體" w:hAnsi="Times New Roman" w:cs="Times New Roman"/>
              </w:rPr>
              <w:t>，屬公共領域之著作。</w:t>
            </w:r>
          </w:p>
        </w:tc>
      </w:tr>
      <w:tr w:rsidR="00073C56" w:rsidRPr="007B3A57" w14:paraId="1E4A11AD" w14:textId="77777777" w:rsidTr="00073C56">
        <w:trPr>
          <w:trHeight w:val="126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EA1C88" w14:textId="07C001E5" w:rsidR="008D6A3D" w:rsidRPr="007B3A57" w:rsidRDefault="00BF3DE3" w:rsidP="008006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3A57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554D51" w14:textId="31C9048A" w:rsidR="008D6A3D" w:rsidRPr="00EE72CA" w:rsidRDefault="00BF3DE3" w:rsidP="00EE72CA">
            <w:pPr>
              <w:rPr>
                <w:rFonts w:ascii="Times New Roman" w:eastAsia="標楷體" w:hAnsi="Times New Roman" w:cs="Times New Roman"/>
              </w:rPr>
            </w:pPr>
            <w:r w:rsidRPr="00EE72CA">
              <w:rPr>
                <w:rFonts w:ascii="Times New Roman" w:eastAsia="標楷體" w:hAnsi="Times New Roman" w:cs="Times New Roman"/>
              </w:rPr>
              <w:t>「任何鼓吹戰爭之宣傳，應以法律禁止之。任何鼓吹民族、種族或宗教仇恨之主張，構成煽動歧視、敵視或強暴者，應以法律禁止之。」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41A4F" w14:textId="77777777" w:rsidR="008D6A3D" w:rsidRPr="007B3A57" w:rsidRDefault="008D6A3D" w:rsidP="008006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B3A57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7C9A112" wp14:editId="1D351119">
                  <wp:extent cx="445135" cy="389890"/>
                  <wp:effectExtent l="0" t="0" r="0" b="0"/>
                  <wp:docPr id="14" name="圖片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BF2022B" w14:textId="1192A22C" w:rsidR="008D6A3D" w:rsidRPr="00EE72CA" w:rsidRDefault="00BF3DE3" w:rsidP="00EE72CA">
            <w:pPr>
              <w:rPr>
                <w:rFonts w:ascii="Times New Roman" w:eastAsia="標楷體" w:hAnsi="Times New Roman" w:cs="Times New Roman"/>
              </w:rPr>
            </w:pPr>
            <w:r w:rsidRPr="00EE72CA">
              <w:rPr>
                <w:rFonts w:ascii="Times New Roman" w:eastAsia="標楷體" w:hAnsi="Times New Roman" w:cs="Times New Roman"/>
              </w:rPr>
              <w:t>公民與政治權利公約第</w:t>
            </w:r>
            <w:r w:rsidRPr="00EE72CA">
              <w:rPr>
                <w:rFonts w:ascii="Times New Roman" w:eastAsia="標楷體" w:hAnsi="Times New Roman" w:cs="Times New Roman"/>
              </w:rPr>
              <w:t>20</w:t>
            </w:r>
            <w:r w:rsidRPr="00EE72CA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</w:tbl>
    <w:p w14:paraId="6DCE828D" w14:textId="77777777" w:rsidR="008D6A3D" w:rsidRPr="007B3A57" w:rsidRDefault="008D6A3D" w:rsidP="008D6A3D">
      <w:pPr>
        <w:ind w:leftChars="100" w:left="240"/>
        <w:rPr>
          <w:rFonts w:ascii="Times New Roman" w:hAnsi="Times New Roman" w:cs="Times New Roman"/>
        </w:rPr>
      </w:pPr>
    </w:p>
    <w:p w14:paraId="4EE97616" w14:textId="77777777" w:rsidR="008D6A3D" w:rsidRPr="007B3A57" w:rsidRDefault="008D6A3D" w:rsidP="008D6A3D">
      <w:pPr>
        <w:rPr>
          <w:rFonts w:ascii="Times New Roman" w:eastAsia="Adobe 明體 Std L" w:hAnsi="Times New Roman" w:cs="Times New Roman"/>
        </w:rPr>
      </w:pPr>
    </w:p>
    <w:sectPr w:rsidR="008D6A3D" w:rsidRPr="007B3A57" w:rsidSect="00821E6B">
      <w:headerReference w:type="default" r:id="rId25"/>
      <w:footerReference w:type="default" r:id="rId2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9412" w14:textId="77777777" w:rsidR="00821178" w:rsidRDefault="00821178" w:rsidP="00E46332">
      <w:r>
        <w:separator/>
      </w:r>
    </w:p>
  </w:endnote>
  <w:endnote w:type="continuationSeparator" w:id="0">
    <w:p w14:paraId="2455BA94" w14:textId="77777777" w:rsidR="00821178" w:rsidRDefault="00821178" w:rsidP="00E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058670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78A5A8B6" w14:textId="59FE8DA0" w:rsidR="0080061F" w:rsidRPr="00FC1007" w:rsidRDefault="00FC1007">
        <w:pPr>
          <w:pStyle w:val="a7"/>
          <w:jc w:val="center"/>
          <w:rPr>
            <w:rFonts w:ascii="Times New Roman" w:eastAsia="標楷體" w:hAnsi="Times New Roman" w:cs="Times New Roman"/>
          </w:rPr>
        </w:pPr>
        <w:r w:rsidRPr="00FC1007">
          <w:rPr>
            <w:rFonts w:ascii="Times New Roman" w:eastAsia="標楷體" w:hAnsi="Times New Roman" w:cs="Times New Roman"/>
          </w:rPr>
          <w:t>第</w:t>
        </w:r>
        <w:r w:rsidR="0080061F" w:rsidRPr="00FC1007">
          <w:rPr>
            <w:rFonts w:ascii="Times New Roman" w:eastAsia="標楷體" w:hAnsi="Times New Roman" w:cs="Times New Roman"/>
          </w:rPr>
          <w:fldChar w:fldCharType="begin"/>
        </w:r>
        <w:r w:rsidR="0080061F" w:rsidRPr="00FC1007">
          <w:rPr>
            <w:rFonts w:ascii="Times New Roman" w:eastAsia="標楷體" w:hAnsi="Times New Roman" w:cs="Times New Roman"/>
          </w:rPr>
          <w:instrText>PAGE   \* MERGEFORMAT</w:instrText>
        </w:r>
        <w:r w:rsidR="0080061F" w:rsidRPr="00FC1007">
          <w:rPr>
            <w:rFonts w:ascii="Times New Roman" w:eastAsia="標楷體" w:hAnsi="Times New Roman" w:cs="Times New Roman"/>
          </w:rPr>
          <w:fldChar w:fldCharType="separate"/>
        </w:r>
        <w:r w:rsidR="005A1605" w:rsidRPr="005A1605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80061F" w:rsidRPr="00FC1007">
          <w:rPr>
            <w:rFonts w:ascii="Times New Roman" w:eastAsia="標楷體" w:hAnsi="Times New Roman" w:cs="Times New Roman"/>
          </w:rPr>
          <w:fldChar w:fldCharType="end"/>
        </w:r>
        <w:r w:rsidRPr="00FC1007">
          <w:rPr>
            <w:rFonts w:ascii="Times New Roman" w:eastAsia="標楷體" w:hAnsi="Times New Roman" w:cs="Times New Roman"/>
          </w:rPr>
          <w:t>頁，共</w:t>
        </w:r>
        <w:r w:rsidRPr="00FC1007">
          <w:rPr>
            <w:rFonts w:ascii="Times New Roman" w:eastAsia="標楷體" w:hAnsi="Times New Roman" w:cs="Times New Roman"/>
          </w:rPr>
          <w:t>8</w:t>
        </w:r>
        <w:r w:rsidRPr="00FC1007">
          <w:rPr>
            <w:rFonts w:ascii="Times New Roman" w:eastAsia="標楷體" w:hAnsi="Times New Roman" w:cs="Times New Roman"/>
          </w:rPr>
          <w:t>頁。</w:t>
        </w:r>
      </w:p>
    </w:sdtContent>
  </w:sdt>
  <w:p w14:paraId="06464688" w14:textId="77777777" w:rsidR="0080061F" w:rsidRDefault="00800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60B56" w14:textId="77777777" w:rsidR="00821178" w:rsidRDefault="00821178" w:rsidP="00E46332">
      <w:r>
        <w:separator/>
      </w:r>
    </w:p>
  </w:footnote>
  <w:footnote w:type="continuationSeparator" w:id="0">
    <w:p w14:paraId="050EC0B8" w14:textId="77777777" w:rsidR="00821178" w:rsidRDefault="00821178" w:rsidP="00E4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FDB6" w14:textId="77777777" w:rsidR="0080061F" w:rsidRDefault="0080061F" w:rsidP="00DA3F8D">
    <w:pPr>
      <w:pStyle w:val="a5"/>
      <w:jc w:val="center"/>
    </w:pPr>
    <w:r>
      <w:rPr>
        <w:b/>
        <w:noProof/>
        <w:szCs w:val="28"/>
      </w:rPr>
      <w:drawing>
        <wp:inline distT="0" distB="0" distL="0" distR="0" wp14:anchorId="5F98A801" wp14:editId="7E720F78">
          <wp:extent cx="1324610" cy="439420"/>
          <wp:effectExtent l="0" t="0" r="8890" b="0"/>
          <wp:docPr id="1" name="圖片 1" descr="描述: O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OC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D1B"/>
    <w:multiLevelType w:val="hybridMultilevel"/>
    <w:tmpl w:val="7C3A2D4C"/>
    <w:lvl w:ilvl="0" w:tplc="581A5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7C375DD"/>
    <w:multiLevelType w:val="hybridMultilevel"/>
    <w:tmpl w:val="FEFC93EE"/>
    <w:lvl w:ilvl="0" w:tplc="2F86B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A305C4"/>
    <w:multiLevelType w:val="hybridMultilevel"/>
    <w:tmpl w:val="30044E4A"/>
    <w:lvl w:ilvl="0" w:tplc="B738850A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87324A0"/>
    <w:multiLevelType w:val="hybridMultilevel"/>
    <w:tmpl w:val="B3241808"/>
    <w:lvl w:ilvl="0" w:tplc="60841A6A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D975578"/>
    <w:multiLevelType w:val="hybridMultilevel"/>
    <w:tmpl w:val="74A4453E"/>
    <w:lvl w:ilvl="0" w:tplc="59C66634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03E1B85"/>
    <w:multiLevelType w:val="hybridMultilevel"/>
    <w:tmpl w:val="E9BC5AFC"/>
    <w:lvl w:ilvl="0" w:tplc="66682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4632489"/>
    <w:multiLevelType w:val="hybridMultilevel"/>
    <w:tmpl w:val="0582974A"/>
    <w:lvl w:ilvl="0" w:tplc="F6C816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9D23C8"/>
    <w:multiLevelType w:val="hybridMultilevel"/>
    <w:tmpl w:val="620E2B70"/>
    <w:lvl w:ilvl="0" w:tplc="534CD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AB3134D"/>
    <w:multiLevelType w:val="hybridMultilevel"/>
    <w:tmpl w:val="5FAEF192"/>
    <w:lvl w:ilvl="0" w:tplc="382C50A0">
      <w:start w:val="1"/>
      <w:numFmt w:val="decimal"/>
      <w:lvlText w:val="%1."/>
      <w:lvlJc w:val="left"/>
      <w:pPr>
        <w:ind w:left="107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C083DCC"/>
    <w:multiLevelType w:val="hybridMultilevel"/>
    <w:tmpl w:val="6C92BB58"/>
    <w:lvl w:ilvl="0" w:tplc="02B42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C6C35B3"/>
    <w:multiLevelType w:val="hybridMultilevel"/>
    <w:tmpl w:val="4DEA821A"/>
    <w:lvl w:ilvl="0" w:tplc="AF0041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FA06B7"/>
    <w:multiLevelType w:val="hybridMultilevel"/>
    <w:tmpl w:val="40FA374C"/>
    <w:lvl w:ilvl="0" w:tplc="7DD013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2D1135E"/>
    <w:multiLevelType w:val="hybridMultilevel"/>
    <w:tmpl w:val="B0B20E7A"/>
    <w:lvl w:ilvl="0" w:tplc="5EC04DBC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013C54"/>
    <w:multiLevelType w:val="hybridMultilevel"/>
    <w:tmpl w:val="74E6351E"/>
    <w:lvl w:ilvl="0" w:tplc="977E3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D8F1B27"/>
    <w:multiLevelType w:val="hybridMultilevel"/>
    <w:tmpl w:val="3FC26512"/>
    <w:lvl w:ilvl="0" w:tplc="A6E8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741272"/>
    <w:multiLevelType w:val="hybridMultilevel"/>
    <w:tmpl w:val="499C7AB0"/>
    <w:lvl w:ilvl="0" w:tplc="2A0A252A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26E07E7"/>
    <w:multiLevelType w:val="hybridMultilevel"/>
    <w:tmpl w:val="8FA2A7A6"/>
    <w:lvl w:ilvl="0" w:tplc="43C0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E3A28DE"/>
    <w:multiLevelType w:val="hybridMultilevel"/>
    <w:tmpl w:val="F7869450"/>
    <w:lvl w:ilvl="0" w:tplc="543E31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B476F9"/>
    <w:multiLevelType w:val="hybridMultilevel"/>
    <w:tmpl w:val="545A6D6A"/>
    <w:lvl w:ilvl="0" w:tplc="337A43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B76046"/>
    <w:multiLevelType w:val="hybridMultilevel"/>
    <w:tmpl w:val="4E545A40"/>
    <w:lvl w:ilvl="0" w:tplc="67940C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696C3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8E0FFA"/>
    <w:multiLevelType w:val="hybridMultilevel"/>
    <w:tmpl w:val="4D16979E"/>
    <w:lvl w:ilvl="0" w:tplc="9EE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7FB56FC"/>
    <w:multiLevelType w:val="hybridMultilevel"/>
    <w:tmpl w:val="1AD603F4"/>
    <w:lvl w:ilvl="0" w:tplc="E2A4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92E4AB5"/>
    <w:multiLevelType w:val="hybridMultilevel"/>
    <w:tmpl w:val="03DA10BE"/>
    <w:lvl w:ilvl="0" w:tplc="AAA89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AC85BE6"/>
    <w:multiLevelType w:val="hybridMultilevel"/>
    <w:tmpl w:val="53A0A242"/>
    <w:lvl w:ilvl="0" w:tplc="3E5CBFD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082576"/>
    <w:multiLevelType w:val="hybridMultilevel"/>
    <w:tmpl w:val="AD2AB00E"/>
    <w:lvl w:ilvl="0" w:tplc="E3A6E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03E3C10"/>
    <w:multiLevelType w:val="hybridMultilevel"/>
    <w:tmpl w:val="1034FBF0"/>
    <w:lvl w:ilvl="0" w:tplc="B69284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9D0DDB"/>
    <w:multiLevelType w:val="hybridMultilevel"/>
    <w:tmpl w:val="B25E62FE"/>
    <w:lvl w:ilvl="0" w:tplc="0C0432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D125E4F"/>
    <w:multiLevelType w:val="hybridMultilevel"/>
    <w:tmpl w:val="6D362C8E"/>
    <w:lvl w:ilvl="0" w:tplc="DD56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7EE15EC4"/>
    <w:multiLevelType w:val="hybridMultilevel"/>
    <w:tmpl w:val="BFD023D2"/>
    <w:lvl w:ilvl="0" w:tplc="80AE02E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EF3ED7"/>
    <w:multiLevelType w:val="hybridMultilevel"/>
    <w:tmpl w:val="C23CF806"/>
    <w:lvl w:ilvl="0" w:tplc="73ECBC00">
      <w:start w:val="1"/>
      <w:numFmt w:val="decimal"/>
      <w:lvlText w:val="%1."/>
      <w:lvlJc w:val="left"/>
      <w:pPr>
        <w:ind w:left="113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26"/>
  </w:num>
  <w:num w:numId="7">
    <w:abstractNumId w:val="11"/>
  </w:num>
  <w:num w:numId="8">
    <w:abstractNumId w:val="17"/>
  </w:num>
  <w:num w:numId="9">
    <w:abstractNumId w:val="28"/>
  </w:num>
  <w:num w:numId="10">
    <w:abstractNumId w:val="22"/>
  </w:num>
  <w:num w:numId="11">
    <w:abstractNumId w:val="25"/>
  </w:num>
  <w:num w:numId="12">
    <w:abstractNumId w:val="13"/>
  </w:num>
  <w:num w:numId="13">
    <w:abstractNumId w:val="6"/>
  </w:num>
  <w:num w:numId="14">
    <w:abstractNumId w:val="19"/>
  </w:num>
  <w:num w:numId="15">
    <w:abstractNumId w:val="7"/>
  </w:num>
  <w:num w:numId="16">
    <w:abstractNumId w:val="0"/>
  </w:num>
  <w:num w:numId="17">
    <w:abstractNumId w:val="1"/>
  </w:num>
  <w:num w:numId="18">
    <w:abstractNumId w:val="9"/>
  </w:num>
  <w:num w:numId="19">
    <w:abstractNumId w:val="8"/>
  </w:num>
  <w:num w:numId="20">
    <w:abstractNumId w:val="27"/>
  </w:num>
  <w:num w:numId="21">
    <w:abstractNumId w:val="23"/>
  </w:num>
  <w:num w:numId="22">
    <w:abstractNumId w:val="5"/>
  </w:num>
  <w:num w:numId="23">
    <w:abstractNumId w:val="14"/>
  </w:num>
  <w:num w:numId="24">
    <w:abstractNumId w:val="29"/>
  </w:num>
  <w:num w:numId="25">
    <w:abstractNumId w:val="10"/>
  </w:num>
  <w:num w:numId="26">
    <w:abstractNumId w:val="24"/>
  </w:num>
  <w:num w:numId="27">
    <w:abstractNumId w:val="18"/>
  </w:num>
  <w:num w:numId="28">
    <w:abstractNumId w:val="21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D"/>
    <w:rsid w:val="00007856"/>
    <w:rsid w:val="00027BBA"/>
    <w:rsid w:val="00073C56"/>
    <w:rsid w:val="000765BD"/>
    <w:rsid w:val="00097894"/>
    <w:rsid w:val="00171CE4"/>
    <w:rsid w:val="00184B3D"/>
    <w:rsid w:val="001D7722"/>
    <w:rsid w:val="001E240F"/>
    <w:rsid w:val="001E245E"/>
    <w:rsid w:val="00221BCE"/>
    <w:rsid w:val="002666EC"/>
    <w:rsid w:val="002808A5"/>
    <w:rsid w:val="002E70C0"/>
    <w:rsid w:val="00304357"/>
    <w:rsid w:val="003055F3"/>
    <w:rsid w:val="003078DE"/>
    <w:rsid w:val="003361F1"/>
    <w:rsid w:val="003C3710"/>
    <w:rsid w:val="004447E2"/>
    <w:rsid w:val="00467FEA"/>
    <w:rsid w:val="00487881"/>
    <w:rsid w:val="005253E1"/>
    <w:rsid w:val="00546308"/>
    <w:rsid w:val="00564D48"/>
    <w:rsid w:val="005954E2"/>
    <w:rsid w:val="005A1605"/>
    <w:rsid w:val="005E2E4D"/>
    <w:rsid w:val="00602B1A"/>
    <w:rsid w:val="006145EE"/>
    <w:rsid w:val="006214E9"/>
    <w:rsid w:val="006317B6"/>
    <w:rsid w:val="00632D3F"/>
    <w:rsid w:val="00691E7C"/>
    <w:rsid w:val="00756B42"/>
    <w:rsid w:val="0078008B"/>
    <w:rsid w:val="007B3A57"/>
    <w:rsid w:val="007E0111"/>
    <w:rsid w:val="0080061F"/>
    <w:rsid w:val="00821178"/>
    <w:rsid w:val="00821E6B"/>
    <w:rsid w:val="00884682"/>
    <w:rsid w:val="008D56F4"/>
    <w:rsid w:val="008D6A3D"/>
    <w:rsid w:val="008E6417"/>
    <w:rsid w:val="008F3164"/>
    <w:rsid w:val="008F564A"/>
    <w:rsid w:val="00942781"/>
    <w:rsid w:val="0095370E"/>
    <w:rsid w:val="009854C6"/>
    <w:rsid w:val="009D0B6D"/>
    <w:rsid w:val="009D4A21"/>
    <w:rsid w:val="009E01AD"/>
    <w:rsid w:val="00A01052"/>
    <w:rsid w:val="00A02D84"/>
    <w:rsid w:val="00A10391"/>
    <w:rsid w:val="00A5630C"/>
    <w:rsid w:val="00A8420F"/>
    <w:rsid w:val="00A90AB1"/>
    <w:rsid w:val="00AD3CAB"/>
    <w:rsid w:val="00B01C94"/>
    <w:rsid w:val="00B271DB"/>
    <w:rsid w:val="00B55087"/>
    <w:rsid w:val="00BB4178"/>
    <w:rsid w:val="00BF3DE3"/>
    <w:rsid w:val="00C14377"/>
    <w:rsid w:val="00C34894"/>
    <w:rsid w:val="00C34C1B"/>
    <w:rsid w:val="00CC2645"/>
    <w:rsid w:val="00D3284C"/>
    <w:rsid w:val="00D67607"/>
    <w:rsid w:val="00D75777"/>
    <w:rsid w:val="00D83F1B"/>
    <w:rsid w:val="00D97A59"/>
    <w:rsid w:val="00DA1747"/>
    <w:rsid w:val="00DA3F8D"/>
    <w:rsid w:val="00DB46FF"/>
    <w:rsid w:val="00DE1F6F"/>
    <w:rsid w:val="00DE2F2A"/>
    <w:rsid w:val="00E109EF"/>
    <w:rsid w:val="00E15284"/>
    <w:rsid w:val="00E309CC"/>
    <w:rsid w:val="00E34867"/>
    <w:rsid w:val="00E40D3F"/>
    <w:rsid w:val="00E45A7B"/>
    <w:rsid w:val="00E46332"/>
    <w:rsid w:val="00E53725"/>
    <w:rsid w:val="00E638A2"/>
    <w:rsid w:val="00E6500E"/>
    <w:rsid w:val="00ED0C4D"/>
    <w:rsid w:val="00EE72CA"/>
    <w:rsid w:val="00F3291F"/>
    <w:rsid w:val="00F37BE0"/>
    <w:rsid w:val="00F55F2D"/>
    <w:rsid w:val="00F86FCD"/>
    <w:rsid w:val="00FA4A51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581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DE"/>
    <w:pPr>
      <w:ind w:leftChars="200" w:left="480"/>
    </w:pPr>
  </w:style>
  <w:style w:type="character" w:styleId="a4">
    <w:name w:val="Hyperlink"/>
    <w:basedOn w:val="a0"/>
    <w:uiPriority w:val="99"/>
    <w:unhideWhenUsed/>
    <w:rsid w:val="006317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63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63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633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1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DE"/>
    <w:pPr>
      <w:ind w:leftChars="200" w:left="480"/>
    </w:pPr>
  </w:style>
  <w:style w:type="character" w:styleId="a4">
    <w:name w:val="Hyperlink"/>
    <w:basedOn w:val="a0"/>
    <w:uiPriority w:val="99"/>
    <w:unhideWhenUsed/>
    <w:rsid w:val="006317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63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63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633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1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9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deed.zh_TW" TargetMode="External"/><Relationship Id="rId13" Type="http://schemas.openxmlformats.org/officeDocument/2006/relationships/hyperlink" Target="http://creativecommons.org/licenses/by-nc-sa/3.0/tw/deed.zh_TW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judicial.gov.tw/constitutionalcourt/p03_01.asp?expno=4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hyperlink" Target="http://zh.wikipedia.org/zh-tw/Wikipedia:CC-BY-SA-3.0%E5%8D%8F%E8%AE%AE%E6%96%87%E6%9C%A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judicial.gov.tw/constitutionalcourt/p03_01.asp?expno=56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24" Type="http://schemas.openxmlformats.org/officeDocument/2006/relationships/hyperlink" Target="http://zh.wikipedia.org/zh-tw/%E4%BC%8F%E7%88%BE%E6%B3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w.aca.ntu.edu.tw/ntu-ocw/index.php/ocw/copyright_declaration" TargetMode="External"/><Relationship Id="rId23" Type="http://schemas.openxmlformats.org/officeDocument/2006/relationships/hyperlink" Target="http://www.judicial.gov.tw/constitutionalcourt/p03_01.asp?expno=6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reativecommons.org/licenses/by-nc-sa/3.0/tw/deed.zh_TW" TargetMode="External"/><Relationship Id="rId19" Type="http://schemas.openxmlformats.org/officeDocument/2006/relationships/hyperlink" Target="http://www.judicial.gov.tw/constitutionalcourt/p03_01.asp?expno=5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nc-sa/3.0/tw/deed.zh_TW" TargetMode="External"/><Relationship Id="rId22" Type="http://schemas.openxmlformats.org/officeDocument/2006/relationships/hyperlink" Target="http://www.judicial.gov.tw/constitutionalcourt/p03_01.asp?expno=57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679</Words>
  <Characters>3871</Characters>
  <Application>Microsoft Office Word</Application>
  <DocSecurity>0</DocSecurity>
  <Lines>32</Lines>
  <Paragraphs>9</Paragraphs>
  <ScaleCrop>false</ScaleCrop>
  <Company>Hewlett-Packard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ingni</dc:creator>
  <cp:lastModifiedBy>User</cp:lastModifiedBy>
  <cp:revision>11</cp:revision>
  <dcterms:created xsi:type="dcterms:W3CDTF">2013-05-12T07:16:00Z</dcterms:created>
  <dcterms:modified xsi:type="dcterms:W3CDTF">2013-06-20T01:49:00Z</dcterms:modified>
</cp:coreProperties>
</file>